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0"/>
        <w:widowControl/>
        <w:spacing w:after="0"/>
        <w:ind w:right="1243" w:rightChars="592"/>
        <w:jc w:val="both"/>
        <w:rPr>
          <w:rFonts w:hint="eastAsia" w:ascii="宋体" w:hAnsi="宋体" w:cs="宋体"/>
          <w:b/>
          <w:bCs/>
          <w:color w:val="CC00FF"/>
          <w:sz w:val="32"/>
          <w:szCs w:val="32"/>
          <w:lang w:eastAsia="en-US"/>
        </w:rPr>
      </w:pPr>
      <w:r>
        <w:rPr>
          <w:rFonts w:hint="eastAsia" w:ascii="宋体" w:hAnsi="宋体" w:cs="宋体"/>
          <w:b/>
          <w:bCs/>
          <w:color w:val="CC00FF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912495</wp:posOffset>
                </wp:positionV>
                <wp:extent cx="5274945" cy="635"/>
                <wp:effectExtent l="0" t="0" r="0" b="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494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9.25pt;margin-top:71.85pt;height:0.05pt;width:415.35pt;z-index:251659264;mso-width-relative:page;mso-height-relative:page;" filled="f" stroked="t" coordsize="21600,21600" o:gfxdata="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iVeV72QAAAAoBAAAPAAAAAAAAAAEAIAAAACIAAABkcnMvZG93bnJl&#10;di54bWxQSwECFAAUAAAACACHTuJACG7DCsMBAACOAwAADgAAAAAAAAABACAAAAAoAQAAZHJzL2Uy&#10;b0RvYy54bWxQSwUGAAAAAAYABgBZAQAAXQ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0"/>
        <w:widowControl/>
        <w:spacing w:after="0"/>
        <w:ind w:right="103" w:rightChars="49"/>
        <w:rPr>
          <w:rFonts w:hint="eastAsia"/>
          <w:b/>
          <w:sz w:val="36"/>
          <w:szCs w:val="36"/>
          <w:shd w:val="clear" w:color="auto" w:fill="FFFFFF"/>
        </w:rPr>
      </w:pPr>
      <w:r>
        <w:rPr>
          <w:rFonts w:hint="eastAsia"/>
          <w:b/>
          <w:sz w:val="44"/>
          <w:szCs w:val="44"/>
          <w:shd w:val="clear" w:color="auto" w:fill="FFFFFF"/>
        </w:rPr>
        <w:t xml:space="preserve"> </w:t>
      </w:r>
      <w:r>
        <w:rPr>
          <w:rFonts w:hint="eastAsia"/>
          <w:b/>
          <w:sz w:val="36"/>
          <w:szCs w:val="36"/>
          <w:shd w:val="clear" w:color="auto" w:fill="FFFFFF"/>
        </w:rPr>
        <w:t>清大•创新型企业工商管理（EMBA）总裁研修班</w:t>
      </w:r>
    </w:p>
    <w:p>
      <w:pPr>
        <w:pStyle w:val="20"/>
        <w:widowControl/>
        <w:spacing w:after="0"/>
        <w:ind w:right="103" w:rightChars="49"/>
        <w:rPr>
          <w:rFonts w:hint="eastAsia"/>
          <w:b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spacing w:line="450" w:lineRule="atLeast"/>
        <w:ind w:left="218" w:leftChars="104"/>
        <w:jc w:val="left"/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drawing>
          <wp:inline distT="0" distB="0" distL="114300" distR="114300">
            <wp:extent cx="5220335" cy="1192530"/>
            <wp:effectExtent l="0" t="0" r="18415" b="7620"/>
            <wp:docPr id="3" name="图片 7" descr="二校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二校门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033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清大·创新型企业</w:t>
      </w:r>
      <w:r>
        <w:rPr>
          <w:rFonts w:hint="eastAsia" w:ascii="黑体" w:hAnsi="黑体" w:eastAsia="黑体" w:cs="黑体"/>
          <w:b/>
          <w:sz w:val="24"/>
        </w:rPr>
        <w:t>工商管理（EMBA）总裁研修班创始于2009年，</w:t>
      </w:r>
      <w:r>
        <w:rPr>
          <w:rFonts w:hint="eastAsia" w:ascii="黑体" w:eastAsia="黑体"/>
          <w:b/>
          <w:sz w:val="24"/>
        </w:rPr>
        <w:t>前身是清华大学·工商管理高级研修班，至今已培训企业家超过,2000人</w:t>
      </w:r>
      <w:bookmarkStart w:id="1" w:name="_GoBack"/>
      <w:bookmarkEnd w:id="1"/>
      <w:r>
        <w:rPr>
          <w:rFonts w:hint="eastAsia" w:ascii="黑体" w:eastAsia="黑体"/>
          <w:b/>
          <w:sz w:val="24"/>
        </w:rPr>
        <w:t>。</w:t>
      </w:r>
    </w:p>
    <w:p>
      <w:pPr>
        <w:ind w:firstLine="420"/>
        <w:rPr>
          <w:rFonts w:hint="eastAsia" w:ascii="黑体" w:eastAsia="黑体"/>
          <w:b/>
          <w:sz w:val="24"/>
        </w:rPr>
      </w:pPr>
    </w:p>
    <w:p>
      <w:pPr>
        <w:widowControl/>
        <w:shd w:val="clear" w:color="auto" w:fill="FFFFFF"/>
        <w:ind w:firstLine="120" w:firstLineChars="5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kern w:val="0"/>
          <w:sz w:val="24"/>
          <w:shd w:val="clear" w:color="auto" w:fill="FFFFFF"/>
          <w:lang w:bidi="ar"/>
        </w:rPr>
        <w:t>【项目背景】</w:t>
      </w:r>
    </w:p>
    <w:p>
      <w:pPr>
        <w:ind w:firstLine="420"/>
        <w:rPr>
          <w:rFonts w:hint="eastAsia"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sz w:val="24"/>
        </w:rPr>
        <w:t>十九大提出：</w:t>
      </w:r>
      <w:r>
        <w:rPr>
          <w:rFonts w:hint="eastAsia" w:ascii="宋体" w:hAnsi="宋体" w:cs="宋体"/>
          <w:bCs/>
          <w:color w:val="000000"/>
          <w:sz w:val="24"/>
        </w:rPr>
        <w:t>创新是引领发展的第一动力，是建设现代化经济体系的战略支撑。深化科技体制改革，建立以企业为主体、市场为导向、产学研深度融合的技术创新体系，加强对中小企业创新的支持，促进科技成果转化。倡导创新文化，强化知识产权创造、保护、运用。培养造就一大批具有国际水平的战略科技人才、科技领军人才、青年科技人才和高水平创新团队。</w:t>
      </w:r>
    </w:p>
    <w:p>
      <w:pPr>
        <w:ind w:firstLine="420"/>
        <w:rPr>
          <w:rFonts w:hint="eastAsia" w:ascii="宋体" w:hAnsi="宋体" w:cs="宋体"/>
          <w:bCs/>
          <w:color w:val="000000"/>
          <w:sz w:val="24"/>
        </w:rPr>
      </w:pPr>
    </w:p>
    <w:p>
      <w:pPr>
        <w:widowControl/>
        <w:shd w:val="clear" w:color="auto" w:fill="FFFFFF"/>
        <w:ind w:firstLine="480" w:firstLineChars="200"/>
        <w:jc w:val="left"/>
        <w:rPr>
          <w:rFonts w:hint="eastAsia" w:ascii="宋体" w:hAnsi="宋体" w:cs="宋体"/>
          <w:sz w:val="24"/>
          <w:shd w:val="clear" w:color="auto" w:fill="FFFFFF"/>
        </w:rPr>
      </w:pPr>
      <w:r>
        <w:rPr>
          <w:rFonts w:hint="eastAsia" w:ascii="宋体" w:hAnsi="宋体" w:cs="宋体"/>
          <w:sz w:val="24"/>
        </w:rPr>
        <w:t>根据十九大精神，结合</w:t>
      </w: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t>创新型企业的特点，以及创新型企业普遍存在的问题，融合清华大学的百年积淀，</w:t>
      </w:r>
      <w:r>
        <w:rPr>
          <w:rFonts w:hint="eastAsia" w:ascii="宋体" w:hAnsi="宋体" w:cs="宋体"/>
          <w:sz w:val="24"/>
        </w:rPr>
        <w:t>经过深度研究，系统性的升级打造出全新的“清大·创新型企业工商管理（EMBA）总裁研修班”</w:t>
      </w: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t>。课程主要从</w:t>
      </w:r>
      <w:r>
        <w:rPr>
          <w:rFonts w:hint="eastAsia" w:ascii="宋体" w:hAnsi="宋体" w:cs="宋体"/>
          <w:sz w:val="24"/>
          <w:shd w:val="clear" w:color="auto" w:fill="FFFFFF"/>
        </w:rPr>
        <w:t>人才、</w:t>
      </w:r>
      <w:r>
        <w:rPr>
          <w:rFonts w:hint="eastAsia" w:ascii="宋体" w:hAnsi="宋体" w:cs="宋体"/>
          <w:sz w:val="24"/>
        </w:rPr>
        <w:fldChar w:fldCharType="begin"/>
      </w:r>
      <w:r>
        <w:rPr>
          <w:rFonts w:hint="eastAsia" w:ascii="宋体" w:hAnsi="宋体" w:cs="宋体"/>
          <w:sz w:val="24"/>
        </w:rPr>
        <w:instrText xml:space="preserve"> HYPERLINK "http://wiki.mbalib.com/wiki/%E5%86%B3%E7%AD%96" \o "决策" </w:instrText>
      </w:r>
      <w:r>
        <w:rPr>
          <w:rFonts w:hint="eastAsia" w:ascii="宋体" w:hAnsi="宋体" w:cs="宋体"/>
          <w:sz w:val="24"/>
        </w:rPr>
        <w:fldChar w:fldCharType="separate"/>
      </w:r>
      <w:r>
        <w:rPr>
          <w:rStyle w:val="13"/>
          <w:rFonts w:hint="eastAsia" w:ascii="宋体" w:hAnsi="宋体" w:eastAsia="宋体" w:cs="宋体"/>
          <w:b w:val="0"/>
          <w:color w:val="auto"/>
          <w:szCs w:val="24"/>
          <w:shd w:val="clear" w:color="auto" w:fill="FFFFFF"/>
        </w:rPr>
        <w:t>决策</w:t>
      </w:r>
      <w:r>
        <w:rPr>
          <w:rFonts w:hint="eastAsia" w:ascii="宋体" w:hAnsi="宋体" w:cs="宋体"/>
          <w:sz w:val="24"/>
        </w:rPr>
        <w:fldChar w:fldCharType="end"/>
      </w:r>
      <w:r>
        <w:rPr>
          <w:rFonts w:hint="eastAsia" w:ascii="宋体" w:hAnsi="宋体" w:cs="宋体"/>
          <w:sz w:val="24"/>
          <w:shd w:val="clear" w:color="auto" w:fill="FFFFFF"/>
        </w:rPr>
        <w:t>、保障、</w:t>
      </w:r>
      <w:r>
        <w:rPr>
          <w:rFonts w:hint="eastAsia" w:ascii="宋体" w:hAnsi="宋体" w:cs="宋体"/>
          <w:sz w:val="24"/>
        </w:rPr>
        <w:fldChar w:fldCharType="begin"/>
      </w:r>
      <w:r>
        <w:rPr>
          <w:rFonts w:hint="eastAsia" w:ascii="宋体" w:hAnsi="宋体" w:cs="宋体"/>
          <w:sz w:val="24"/>
        </w:rPr>
        <w:instrText xml:space="preserve"> HYPERLINK "http://wiki.mbalib.com/wiki/%E6%BF%80%E5%8A%B1" \o "激励" </w:instrText>
      </w:r>
      <w:r>
        <w:rPr>
          <w:rFonts w:hint="eastAsia" w:ascii="宋体" w:hAnsi="宋体" w:cs="宋体"/>
          <w:sz w:val="24"/>
        </w:rPr>
        <w:fldChar w:fldCharType="separate"/>
      </w:r>
      <w:r>
        <w:rPr>
          <w:rStyle w:val="13"/>
          <w:rFonts w:hint="eastAsia" w:ascii="宋体" w:hAnsi="宋体" w:eastAsia="宋体" w:cs="宋体"/>
          <w:b w:val="0"/>
          <w:color w:val="auto"/>
          <w:szCs w:val="24"/>
          <w:shd w:val="clear" w:color="auto" w:fill="FFFFFF"/>
        </w:rPr>
        <w:t>激励</w:t>
      </w:r>
      <w:r>
        <w:rPr>
          <w:rFonts w:hint="eastAsia" w:ascii="宋体" w:hAnsi="宋体" w:cs="宋体"/>
          <w:sz w:val="24"/>
        </w:rPr>
        <w:fldChar w:fldCharType="end"/>
      </w:r>
      <w:r>
        <w:rPr>
          <w:rFonts w:hint="eastAsia" w:ascii="宋体" w:hAnsi="宋体" w:cs="宋体"/>
          <w:sz w:val="24"/>
          <w:shd w:val="clear" w:color="auto" w:fill="FFFFFF"/>
        </w:rPr>
        <w:t>、信息、技术等六各方面帮助企业解决一些认识上的误区，促进创新型企业树立和落实科学发展观，贯彻“自主创新、重点跨越、支撑发展、引领</w:t>
      </w:r>
      <w:r>
        <w:rPr>
          <w:rFonts w:hint="eastAsia" w:ascii="宋体" w:hAnsi="宋体" w:cs="宋体"/>
          <w:sz w:val="24"/>
        </w:rPr>
        <w:fldChar w:fldCharType="begin"/>
      </w:r>
      <w:r>
        <w:rPr>
          <w:rFonts w:hint="eastAsia" w:ascii="宋体" w:hAnsi="宋体" w:cs="宋体"/>
          <w:sz w:val="24"/>
        </w:rPr>
        <w:instrText xml:space="preserve"> HYPERLINK "http://baike.baidu.com/view/23770.htm" \t "_blank" </w:instrText>
      </w:r>
      <w:r>
        <w:rPr>
          <w:rFonts w:hint="eastAsia" w:ascii="宋体" w:hAnsi="宋体" w:cs="宋体"/>
          <w:sz w:val="24"/>
        </w:rPr>
        <w:fldChar w:fldCharType="separate"/>
      </w:r>
      <w:r>
        <w:rPr>
          <w:rStyle w:val="13"/>
          <w:rFonts w:hint="eastAsia" w:ascii="宋体" w:hAnsi="宋体" w:eastAsia="宋体" w:cs="宋体"/>
          <w:b w:val="0"/>
          <w:color w:val="auto"/>
          <w:szCs w:val="24"/>
          <w:shd w:val="clear" w:color="auto" w:fill="FFFFFF"/>
        </w:rPr>
        <w:t>未来</w:t>
      </w:r>
      <w:r>
        <w:rPr>
          <w:rFonts w:hint="eastAsia" w:ascii="宋体" w:hAnsi="宋体" w:cs="宋体"/>
          <w:sz w:val="24"/>
        </w:rPr>
        <w:fldChar w:fldCharType="end"/>
      </w:r>
      <w:r>
        <w:rPr>
          <w:rFonts w:hint="eastAsia" w:ascii="宋体" w:hAnsi="宋体" w:cs="宋体"/>
          <w:sz w:val="24"/>
          <w:shd w:val="clear" w:color="auto" w:fill="FFFFFF"/>
        </w:rPr>
        <w:t>”的方针，把自身创建为具有强大核心竞争力的创新型企业。</w:t>
      </w:r>
    </w:p>
    <w:p>
      <w:pPr>
        <w:widowControl/>
        <w:shd w:val="clear" w:color="auto" w:fill="FFFFFF"/>
        <w:ind w:firstLine="120" w:firstLineChars="50"/>
        <w:jc w:val="left"/>
        <w:rPr>
          <w:rFonts w:hint="eastAsia" w:ascii="宋体" w:hAnsi="宋体" w:cs="宋体"/>
          <w:color w:val="333333"/>
          <w:sz w:val="24"/>
          <w:shd w:val="clear" w:color="auto" w:fill="FFFFFF"/>
        </w:rPr>
      </w:pPr>
    </w:p>
    <w:p>
      <w:pPr>
        <w:widowControl/>
        <w:shd w:val="clear" w:color="auto" w:fill="FFFFFF"/>
        <w:ind w:firstLine="120" w:firstLineChars="50"/>
        <w:jc w:val="left"/>
        <w:rPr>
          <w:rFonts w:hint="eastAsia" w:ascii="宋体" w:hAnsi="宋体" w:cs="宋体"/>
          <w:b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cs="宋体"/>
          <w:b/>
          <w:kern w:val="0"/>
          <w:sz w:val="24"/>
          <w:shd w:val="clear" w:color="auto" w:fill="FFFFFF"/>
          <w:lang w:bidi="ar"/>
        </w:rPr>
        <w:t>【课程特色】</w:t>
      </w:r>
    </w:p>
    <w:p>
      <w:pPr>
        <w:widowControl/>
        <w:shd w:val="clear" w:color="auto" w:fill="FFFFFF"/>
        <w:ind w:firstLine="360" w:firstLineChars="150"/>
        <w:jc w:val="left"/>
        <w:rPr>
          <w:rFonts w:hint="eastAsia" w:ascii="宋体" w:hAnsi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hd w:val="clear" w:color="auto" w:fill="FFFFFF"/>
        </w:rPr>
        <w:t>课程不限于识之博广，更注重法之通融，为阅尽千帆的追寻者提供精益求精的新课堂，为身经百战的奋进者提供融会贯通的新思维，为历经“百课”的求知者提供豁然开朗的新出路。“博学之，审问之，慎思之，明辨之，笃行之”，在追求卓越的道路上，我们一起携手前行。</w:t>
      </w:r>
    </w:p>
    <w:p>
      <w:pPr>
        <w:widowControl/>
        <w:shd w:val="clear" w:color="auto" w:fill="FFFFFF"/>
        <w:ind w:firstLine="120" w:firstLineChars="50"/>
        <w:jc w:val="left"/>
        <w:rPr>
          <w:rFonts w:hint="eastAsia" w:ascii="宋体" w:hAnsi="宋体" w:cs="宋体"/>
          <w:color w:val="000000"/>
          <w:sz w:val="24"/>
          <w:shd w:val="clear" w:color="auto" w:fill="FFFFFF"/>
        </w:rPr>
      </w:pPr>
    </w:p>
    <w:p>
      <w:pPr>
        <w:widowControl/>
        <w:shd w:val="clear" w:color="auto" w:fill="FFFFFF"/>
        <w:ind w:firstLine="120" w:firstLineChars="50"/>
        <w:jc w:val="left"/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t>师从名师：由清华大学专家教授和业内实战精英组成强大的师资阵容，传授最前沿的管理理念和贴近实际的解决方案。</w:t>
      </w: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br w:type="textWrapping"/>
      </w:r>
    </w:p>
    <w:p>
      <w:pPr>
        <w:widowControl/>
        <w:shd w:val="clear" w:color="auto" w:fill="FFFFFF"/>
        <w:ind w:firstLine="120" w:firstLineChars="50"/>
        <w:jc w:val="left"/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t>实战诊断：就学员所在公司中的突出问题进行项目立案，由专家对具有代表性的项目进行现场诊断和答疑。</w:t>
      </w: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br w:type="textWrapping"/>
      </w:r>
    </w:p>
    <w:p>
      <w:pPr>
        <w:widowControl/>
        <w:shd w:val="clear" w:color="auto" w:fill="FFFFFF"/>
        <w:ind w:firstLine="120" w:firstLineChars="50"/>
        <w:jc w:val="left"/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t>高端论坛：每年组织大型论坛，与金融、地产、管理、国学等班级近千名同学同台交流，最大限度扩大人脉关系。</w:t>
      </w: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br w:type="textWrapping"/>
      </w:r>
    </w:p>
    <w:p>
      <w:pPr>
        <w:widowControl/>
        <w:shd w:val="clear" w:color="auto" w:fill="FFFFFF"/>
        <w:ind w:firstLine="120" w:firstLineChars="50"/>
        <w:jc w:val="left"/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t>同学联盟：组织各地同学会，增进跨区域跨行业学员间交流、提升企业竞争力，增加同学间合作，建立全国高端人脉关系网。</w:t>
      </w:r>
    </w:p>
    <w:p>
      <w:pPr>
        <w:widowControl/>
        <w:shd w:val="clear" w:color="auto" w:fill="FFFFFF"/>
        <w:ind w:firstLine="120" w:firstLineChars="50"/>
        <w:jc w:val="left"/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</w:pPr>
    </w:p>
    <w:p>
      <w:pPr>
        <w:widowControl/>
        <w:shd w:val="clear" w:color="auto" w:fill="FFFFFF"/>
        <w:ind w:firstLine="120" w:firstLineChars="50"/>
        <w:jc w:val="left"/>
        <w:rPr>
          <w:rFonts w:hint="eastAsia"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kern w:val="0"/>
          <w:sz w:val="24"/>
          <w:shd w:val="clear" w:color="auto" w:fill="FFFFFF"/>
          <w:lang w:bidi="ar"/>
        </w:rPr>
        <w:t>【教学模式】</w:t>
      </w:r>
    </w:p>
    <w:p>
      <w:pPr>
        <w:widowControl/>
        <w:shd w:val="clear" w:color="auto" w:fill="FFFFFF"/>
        <w:ind w:firstLine="360" w:firstLineChars="15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采用名师名家+实践案例+顾问咨询+</w:t>
      </w:r>
      <w:r>
        <w:rPr>
          <w:rFonts w:hint="eastAsia" w:ascii="宋体" w:hAnsi="宋体" w:cs="宋体"/>
          <w:sz w:val="24"/>
        </w:rPr>
        <w:t>互动授课与案例分析结合，突出实践应用；</w:t>
      </w:r>
      <w:r>
        <w:rPr>
          <w:rFonts w:hint="eastAsia" w:ascii="宋体" w:hAnsi="宋体" w:cs="宋体"/>
          <w:color w:val="000000"/>
          <w:sz w:val="24"/>
        </w:rPr>
        <w:t>真正让学员投入其中。</w:t>
      </w:r>
    </w:p>
    <w:p>
      <w:pPr>
        <w:widowControl/>
        <w:shd w:val="clear" w:color="auto" w:fill="FFFFFF"/>
        <w:ind w:firstLine="120" w:firstLineChars="50"/>
        <w:jc w:val="left"/>
        <w:rPr>
          <w:rFonts w:hint="eastAsia" w:ascii="宋体" w:hAnsi="宋体" w:cs="宋体"/>
          <w:color w:val="000000"/>
          <w:sz w:val="24"/>
        </w:rPr>
      </w:pPr>
    </w:p>
    <w:p>
      <w:pPr>
        <w:widowControl/>
        <w:ind w:firstLine="120" w:firstLineChars="50"/>
        <w:jc w:val="left"/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cs="宋体"/>
          <w:b/>
          <w:kern w:val="0"/>
          <w:sz w:val="24"/>
          <w:shd w:val="clear" w:color="auto" w:fill="FFFFFF"/>
          <w:lang w:bidi="ar"/>
        </w:rPr>
        <w:t>【招生对象】</w:t>
      </w: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t xml:space="preserve">   企业董事长、</w:t>
      </w: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fldChar w:fldCharType="begin"/>
      </w: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instrText xml:space="preserve"> HYPERLINK "http://bdceo.naearg.com/pku/bdkc/?kc=qhzcb/&amp;order=mr" \t "http://bdceo.naearg.com/pku/bdkc/_blank" </w:instrText>
      </w: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fldChar w:fldCharType="separate"/>
      </w:r>
      <w:r>
        <w:rPr>
          <w:rStyle w:val="13"/>
          <w:rFonts w:hint="eastAsia" w:ascii="宋体" w:hAnsi="宋体" w:eastAsia="宋体" w:cs="宋体"/>
          <w:szCs w:val="24"/>
          <w:shd w:val="clear" w:color="auto" w:fill="FFFFFF"/>
        </w:rPr>
        <w:t>总裁</w:t>
      </w: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fldChar w:fldCharType="end"/>
      </w: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t>、首席执行官、总经理、职业经理人及参与公司战略制定的其他高级管理人员。</w:t>
      </w:r>
    </w:p>
    <w:p>
      <w:pPr>
        <w:widowControl/>
        <w:shd w:val="clear" w:color="auto" w:fill="FFFFFF"/>
        <w:ind w:firstLine="120" w:firstLineChars="50"/>
        <w:jc w:val="left"/>
        <w:rPr>
          <w:rFonts w:hint="eastAsia" w:ascii="宋体" w:hAnsi="宋体" w:cs="宋体"/>
          <w:color w:val="000000"/>
          <w:sz w:val="24"/>
        </w:rPr>
      </w:pPr>
    </w:p>
    <w:p>
      <w:pPr>
        <w:widowControl/>
        <w:ind w:firstLine="120" w:firstLineChars="50"/>
        <w:jc w:val="left"/>
        <w:rPr>
          <w:rFonts w:hint="eastAsia" w:ascii="宋体" w:hAnsi="宋体" w:cs="宋体"/>
          <w:color w:val="000000"/>
          <w:spacing w:val="28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  <w:shd w:val="clear" w:color="auto" w:fill="FFFFFF"/>
          <w:lang w:bidi="ar"/>
        </w:rPr>
        <w:t>【</w:t>
      </w:r>
      <w:r>
        <w:rPr>
          <w:rFonts w:hint="eastAsia" w:ascii="宋体" w:hAnsi="宋体" w:cs="宋体"/>
          <w:b/>
          <w:bCs/>
          <w:kern w:val="0"/>
          <w:sz w:val="24"/>
          <w:shd w:val="clear" w:color="auto" w:fill="FFFFFF"/>
          <w:lang w:bidi="ar"/>
        </w:rPr>
        <w:t>学习安排】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120" w:firstLineChars="50"/>
        <w:rPr>
          <w:rFonts w:hint="eastAsia" w:ascii="宋体" w:hAnsi="宋体" w:cs="宋体"/>
          <w:color w:val="000000"/>
          <w:shd w:val="clear" w:color="auto" w:fill="FFFFFF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学制一年半，每月2-3天，共计28天</w:t>
      </w:r>
    </w:p>
    <w:p>
      <w:pPr>
        <w:pStyle w:val="4"/>
        <w:widowControl/>
        <w:shd w:val="clear" w:color="auto" w:fill="FFFFFF"/>
        <w:spacing w:before="0" w:beforeAutospacing="0" w:after="0" w:afterAutospacing="0"/>
        <w:rPr>
          <w:rFonts w:hint="eastAsia" w:ascii="宋体" w:hAnsi="宋体" w:cs="宋体"/>
          <w:color w:val="000000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/>
        <w:ind w:firstLine="120" w:firstLineChars="50"/>
        <w:rPr>
          <w:rFonts w:hint="eastAsia" w:ascii="宋体" w:hAnsi="宋体" w:cs="宋体"/>
          <w:b/>
          <w:bCs/>
          <w:color w:val="000000"/>
          <w:shd w:val="clear" w:color="auto" w:fill="FFFFFF"/>
        </w:rPr>
      </w:pPr>
      <w:r>
        <w:rPr>
          <w:rFonts w:hint="eastAsia" w:ascii="宋体" w:hAnsi="宋体" w:cs="宋体"/>
          <w:b/>
          <w:shd w:val="clear" w:color="auto" w:fill="FFFFFF"/>
          <w:lang w:bidi="ar"/>
        </w:rPr>
        <w:t>【</w:t>
      </w:r>
      <w:r>
        <w:rPr>
          <w:rFonts w:hint="eastAsia" w:ascii="宋体" w:hAnsi="宋体" w:cs="宋体"/>
          <w:b/>
          <w:bCs/>
          <w:shd w:val="clear" w:color="auto" w:fill="FFFFFF"/>
          <w:lang w:bidi="ar"/>
        </w:rPr>
        <w:t>收费标准】</w:t>
      </w:r>
    </w:p>
    <w:p>
      <w:pPr>
        <w:widowControl/>
        <w:snapToGrid w:val="0"/>
        <w:ind w:firstLine="120" w:firstLineChars="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Cs/>
          <w:sz w:val="24"/>
        </w:rPr>
        <w:t>学费：</w:t>
      </w:r>
      <w:r>
        <w:rPr>
          <w:rFonts w:hint="eastAsia"/>
          <w:highlight w:val="yellow"/>
        </w:rPr>
        <w:t>5</w:t>
      </w:r>
      <w:r>
        <w:rPr>
          <w:highlight w:val="yellow"/>
        </w:rPr>
        <w:t>.</w:t>
      </w:r>
      <w:r>
        <w:rPr>
          <w:rFonts w:hint="eastAsia"/>
          <w:highlight w:val="yellow"/>
        </w:rPr>
        <w:t>8万元</w:t>
      </w:r>
      <w:r>
        <w:rPr>
          <w:highlight w:val="yellow"/>
        </w:rPr>
        <w:t>/</w:t>
      </w:r>
      <w:r>
        <w:rPr>
          <w:rFonts w:hint="eastAsia"/>
          <w:highlight w:val="yellow"/>
        </w:rPr>
        <w:t>人，清华校友及校友推荐优惠为3</w:t>
      </w:r>
      <w:r>
        <w:rPr>
          <w:rFonts w:hint="eastAsia"/>
          <w:highlight w:val="yellow"/>
          <w:lang w:val="en-US" w:eastAsia="zh-CN"/>
        </w:rPr>
        <w:t>.68</w:t>
      </w:r>
      <w:r>
        <w:rPr>
          <w:rFonts w:hint="eastAsia"/>
          <w:highlight w:val="yellow"/>
        </w:rPr>
        <w:t>万元</w:t>
      </w:r>
      <w:r>
        <w:rPr>
          <w:highlight w:val="yellow"/>
        </w:rPr>
        <w:t>/</w:t>
      </w:r>
      <w:r>
        <w:rPr>
          <w:rFonts w:hint="eastAsia"/>
          <w:highlight w:val="yellow"/>
        </w:rPr>
        <w:t>人</w:t>
      </w:r>
      <w:r>
        <w:rPr>
          <w:rFonts w:hint="eastAsia"/>
        </w:rPr>
        <w:t>（</w:t>
      </w:r>
      <w:r>
        <w:t xml:space="preserve"> </w:t>
      </w:r>
      <w:r>
        <w:rPr>
          <w:rFonts w:hint="eastAsia"/>
        </w:rPr>
        <w:t>含一年半的教学、教材资料，不含学习及游学产生的食宿交通游览费用）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widowControl/>
        <w:shd w:val="clear" w:color="auto" w:fill="FFFFFF"/>
        <w:ind w:firstLine="120" w:firstLineChars="50"/>
        <w:jc w:val="left"/>
        <w:rPr>
          <w:rFonts w:hint="eastAsia" w:ascii="宋体" w:hAnsi="宋体" w:cs="宋体"/>
          <w:b/>
          <w:kern w:val="0"/>
          <w:sz w:val="24"/>
          <w:shd w:val="clear" w:color="auto" w:fill="FFFFFF"/>
          <w:lang w:bidi="ar"/>
        </w:rPr>
      </w:pPr>
    </w:p>
    <w:p>
      <w:pPr>
        <w:widowControl/>
        <w:shd w:val="clear" w:color="auto" w:fill="FFFFFF"/>
        <w:ind w:firstLine="120" w:firstLineChars="50"/>
        <w:jc w:val="left"/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cs="宋体"/>
          <w:b/>
          <w:kern w:val="0"/>
          <w:sz w:val="24"/>
          <w:shd w:val="clear" w:color="auto" w:fill="FFFFFF"/>
          <w:lang w:bidi="ar"/>
        </w:rPr>
        <w:t>【课程设置】</w:t>
      </w: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t> </w:t>
      </w:r>
    </w:p>
    <w:tbl>
      <w:tblPr>
        <w:tblStyle w:val="16"/>
        <w:tblW w:w="8676" w:type="dxa"/>
        <w:tblInd w:w="190" w:type="dxa"/>
        <w:tblBorders>
          <w:top w:val="dashSmallGap" w:color="auto" w:sz="4" w:space="0"/>
          <w:left w:val="none" w:color="auto" w:sz="0" w:space="0"/>
          <w:bottom w:val="dashSmallGap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5"/>
        <w:gridCol w:w="3931"/>
      </w:tblGrid>
      <w:tr>
        <w:tblPrEx>
          <w:tblBorders>
            <w:top w:val="dashSmallGap" w:color="auto" w:sz="4" w:space="0"/>
            <w:left w:val="none" w:color="auto" w:sz="0" w:space="0"/>
            <w:bottom w:val="dashSmallGap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6" w:type="dxa"/>
            <w:gridSpan w:val="2"/>
            <w:tcBorders>
              <w:top w:val="single" w:color="auto" w:sz="4" w:space="0"/>
              <w:bottom w:val="dashSmallGap" w:color="auto" w:sz="4" w:space="0"/>
            </w:tcBorders>
            <w:shd w:val="clear" w:color="auto" w:fill="FF99CC"/>
            <w:vAlign w:val="center"/>
          </w:tcPr>
          <w:p>
            <w:pPr>
              <w:autoSpaceDE w:val="0"/>
              <w:autoSpaceDN w:val="0"/>
              <w:spacing w:line="35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模块一：宏观经济形势与企业战略决策</w:t>
            </w:r>
          </w:p>
        </w:tc>
      </w:tr>
      <w:tr>
        <w:tblPrEx>
          <w:tblBorders>
            <w:top w:val="dashSmallGap" w:color="auto" w:sz="4" w:space="0"/>
            <w:left w:val="none" w:color="auto" w:sz="0" w:space="0"/>
            <w:bottom w:val="dashSmallGap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5" w:type="dxa"/>
            <w:tcBorders>
              <w:top w:val="single" w:color="auto" w:sz="4" w:space="0"/>
              <w:bottom w:val="dashSmallGap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ind w:right="28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新常态下的中国经济新趋势</w:t>
            </w: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</w:tcBorders>
            <w:vAlign w:val="center"/>
          </w:tcPr>
          <w:p>
            <w:pPr>
              <w:autoSpaceDE w:val="0"/>
              <w:autoSpaceDN w:val="0"/>
              <w:spacing w:line="350" w:lineRule="exact"/>
              <w:jc w:val="left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企业战略决策</w:t>
            </w:r>
          </w:p>
        </w:tc>
      </w:tr>
      <w:tr>
        <w:tblPrEx>
          <w:tblBorders>
            <w:top w:val="dashSmallGap" w:color="auto" w:sz="4" w:space="0"/>
            <w:left w:val="none" w:color="auto" w:sz="0" w:space="0"/>
            <w:bottom w:val="dashSmallGap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5" w:type="dxa"/>
            <w:tcBorders>
              <w:top w:val="single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0"/>
              </w:tabs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全球化战略与中国企业的战略新机遇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30" w:lineRule="atLeas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中国企业面临的产业整合、产业投资与产业并购的重大机遇解读</w:t>
            </w:r>
          </w:p>
          <w:p>
            <w:pPr>
              <w:numPr>
                <w:ilvl w:val="0"/>
                <w:numId w:val="1"/>
              </w:numPr>
              <w:tabs>
                <w:tab w:val="left" w:pos="420"/>
              </w:tabs>
              <w:autoSpaceDE w:val="0"/>
              <w:autoSpaceDN w:val="0"/>
              <w:spacing w:line="35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“一带一路”战略与投资机会</w:t>
            </w: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战</w:t>
            </w:r>
            <w:r>
              <w:rPr>
                <w:rFonts w:hint="eastAsia" w:ascii="宋体" w:hAnsi="宋体" w:cs="宋体"/>
              </w:rPr>
              <w:t xml:space="preserve">略思维与战略运筹       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战略分析与选择    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竞争型战略管理</w:t>
            </w:r>
          </w:p>
        </w:tc>
      </w:tr>
      <w:tr>
        <w:tblPrEx>
          <w:tblBorders>
            <w:top w:val="dashSmallGap" w:color="auto" w:sz="4" w:space="0"/>
            <w:left w:val="none" w:color="auto" w:sz="0" w:space="0"/>
            <w:bottom w:val="dashSmallGap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6" w:type="dxa"/>
            <w:gridSpan w:val="2"/>
            <w:tcBorders>
              <w:top w:val="single" w:color="auto" w:sz="4" w:space="0"/>
              <w:bottom w:val="dashSmallGap" w:color="auto" w:sz="4" w:space="0"/>
            </w:tcBorders>
            <w:shd w:val="clear" w:color="auto" w:fill="FF99CC"/>
            <w:vAlign w:val="center"/>
          </w:tcPr>
          <w:p>
            <w:pPr>
              <w:autoSpaceDE w:val="0"/>
              <w:autoSpaceDN w:val="0"/>
              <w:spacing w:line="350" w:lineRule="exact"/>
              <w:jc w:val="center"/>
              <w:rPr>
                <w:rFonts w:hint="eastAsia" w:ascii="宋体" w:hAnsi="宋体" w:cs="宋体"/>
                <w:b/>
              </w:rPr>
            </w:pPr>
            <w:bookmarkStart w:id="0" w:name="RANGE!B2:E31"/>
            <w:r>
              <w:rPr>
                <w:rFonts w:hint="eastAsia" w:ascii="宋体" w:hAnsi="宋体" w:cs="宋体"/>
                <w:b/>
                <w:szCs w:val="21"/>
              </w:rPr>
              <w:t>模块二：公司治理与运营创新管理</w:t>
            </w:r>
          </w:p>
        </w:tc>
      </w:tr>
      <w:tr>
        <w:tblPrEx>
          <w:tblBorders>
            <w:top w:val="dashSmallGap" w:color="auto" w:sz="4" w:space="0"/>
            <w:left w:val="none" w:color="auto" w:sz="0" w:space="0"/>
            <w:bottom w:val="dashSmallGap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5" w:type="dxa"/>
            <w:tcBorders>
              <w:top w:val="single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50" w:lineRule="exact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公司治理制度</w:t>
            </w: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</w:tcBorders>
            <w:vAlign w:val="center"/>
          </w:tcPr>
          <w:p>
            <w:pPr>
              <w:widowControl/>
              <w:tabs>
                <w:tab w:val="left" w:pos="8640"/>
              </w:tabs>
              <w:jc w:val="left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zh-CN"/>
              </w:rPr>
              <w:t>集团管控</w:t>
            </w:r>
          </w:p>
        </w:tc>
      </w:tr>
      <w:tr>
        <w:tblPrEx>
          <w:tblBorders>
            <w:top w:val="dashSmallGap" w:color="auto" w:sz="4" w:space="0"/>
            <w:left w:val="none" w:color="auto" w:sz="0" w:space="0"/>
            <w:bottom w:val="dashSmallGap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5" w:type="dxa"/>
            <w:tcBorders>
              <w:top w:val="single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产权制度和法人治理结构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激励、约束机制构建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权利制衡与科学决策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组织变革与流程再造</w:t>
            </w: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tabs>
                <w:tab w:val="left" w:pos="8640"/>
              </w:tabs>
              <w:jc w:val="left"/>
              <w:rPr>
                <w:rFonts w:hint="eastAsia" w:ascii="宋体" w:hAnsi="宋体" w:cs="华文细黑"/>
                <w:kern w:val="0"/>
                <w:szCs w:val="21"/>
              </w:rPr>
            </w:pPr>
            <w:r>
              <w:rPr>
                <w:rFonts w:hint="eastAsia" w:ascii="宋体" w:hAnsi="宋体" w:cs="华文细黑"/>
                <w:kern w:val="0"/>
                <w:szCs w:val="21"/>
              </w:rPr>
              <w:t>集团管控总部体系搭建</w:t>
            </w:r>
          </w:p>
          <w:p>
            <w:pPr>
              <w:widowControl/>
              <w:numPr>
                <w:ilvl w:val="0"/>
                <w:numId w:val="3"/>
              </w:numPr>
              <w:tabs>
                <w:tab w:val="left" w:pos="8640"/>
              </w:tabs>
              <w:jc w:val="left"/>
              <w:rPr>
                <w:rFonts w:hint="eastAsia" w:ascii="宋体" w:hAnsi="宋体" w:cs="华文细黑"/>
                <w:kern w:val="0"/>
                <w:szCs w:val="21"/>
              </w:rPr>
            </w:pPr>
            <w:r>
              <w:rPr>
                <w:rFonts w:hint="eastAsia" w:ascii="宋体" w:hAnsi="宋体" w:cs="华文细黑"/>
                <w:kern w:val="0"/>
                <w:szCs w:val="21"/>
              </w:rPr>
              <w:t>集团运营流程及管控</w:t>
            </w:r>
          </w:p>
          <w:p>
            <w:pPr>
              <w:widowControl/>
              <w:numPr>
                <w:ilvl w:val="0"/>
                <w:numId w:val="3"/>
              </w:numPr>
              <w:tabs>
                <w:tab w:val="left" w:pos="8640"/>
              </w:tabs>
              <w:jc w:val="left"/>
              <w:rPr>
                <w:rFonts w:hint="eastAsia" w:ascii="宋体" w:hAnsi="宋体" w:cs="华文细黑"/>
                <w:kern w:val="0"/>
                <w:szCs w:val="21"/>
              </w:rPr>
            </w:pPr>
            <w:r>
              <w:rPr>
                <w:rFonts w:hint="eastAsia" w:ascii="宋体" w:hAnsi="宋体" w:cs="华文细黑"/>
                <w:kern w:val="0"/>
                <w:szCs w:val="21"/>
              </w:rPr>
              <w:t>集团盈利模式构建及创新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华文细黑"/>
                <w:kern w:val="0"/>
                <w:szCs w:val="21"/>
              </w:rPr>
              <w:t>集团风险管控</w:t>
            </w:r>
          </w:p>
        </w:tc>
      </w:tr>
      <w:tr>
        <w:tblPrEx>
          <w:tblBorders>
            <w:top w:val="dashSmallGap" w:color="auto" w:sz="4" w:space="0"/>
            <w:left w:val="none" w:color="auto" w:sz="0" w:space="0"/>
            <w:bottom w:val="dashSmallGap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5" w:type="dxa"/>
            <w:tcBorders>
              <w:top w:val="single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50" w:lineRule="exact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战略人力资源开发与管理</w:t>
            </w: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</w:tcBorders>
            <w:vAlign w:val="center"/>
          </w:tcPr>
          <w:p>
            <w:pPr>
              <w:autoSpaceDE w:val="0"/>
              <w:autoSpaceDN w:val="0"/>
              <w:spacing w:line="350" w:lineRule="exact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创新经营与商业模式</w:t>
            </w:r>
          </w:p>
        </w:tc>
      </w:tr>
      <w:bookmarkEnd w:id="0"/>
      <w:tr>
        <w:tblPrEx>
          <w:tblBorders>
            <w:top w:val="dashSmallGap" w:color="auto" w:sz="4" w:space="0"/>
            <w:left w:val="none" w:color="auto" w:sz="0" w:space="0"/>
            <w:bottom w:val="dashSmallGap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5" w:type="dxa"/>
            <w:tcBorders>
              <w:top w:val="single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企业组织结构设计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人力资源开发项目的设计与评估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岗位分析与组织设计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人本管理</w:t>
            </w: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危机管理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变革与创新管理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利润模式创新与盈利之道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技术创新打造核心竞争力</w:t>
            </w:r>
          </w:p>
        </w:tc>
      </w:tr>
      <w:tr>
        <w:tblPrEx>
          <w:tblBorders>
            <w:top w:val="dashSmallGap" w:color="auto" w:sz="4" w:space="0"/>
            <w:left w:val="none" w:color="auto" w:sz="0" w:space="0"/>
            <w:bottom w:val="dashSmallGap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5" w:type="dxa"/>
            <w:tcBorders>
              <w:top w:val="single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50" w:lineRule="exact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客户服务与品牌管理</w:t>
            </w: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</w:tcBorders>
            <w:vAlign w:val="center"/>
          </w:tcPr>
          <w:p>
            <w:pPr>
              <w:autoSpaceDE w:val="0"/>
              <w:autoSpaceDN w:val="0"/>
              <w:spacing w:line="350" w:lineRule="exact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团队建设与团队管理</w:t>
            </w:r>
          </w:p>
        </w:tc>
      </w:tr>
      <w:tr>
        <w:tblPrEx>
          <w:tblBorders>
            <w:top w:val="dashSmallGap" w:color="auto" w:sz="4" w:space="0"/>
            <w:left w:val="none" w:color="auto" w:sz="0" w:space="0"/>
            <w:bottom w:val="dashSmallGap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5" w:type="dxa"/>
            <w:tcBorders>
              <w:top w:val="single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客户关系管理体系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客户关系管理塑造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品牌维护与形象管理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品牌延伸战略</w:t>
            </w: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高效工作方法与艺术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企业执行力打造与提升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激励机制与巅峰团队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团队构建与组织行为分析</w:t>
            </w:r>
          </w:p>
        </w:tc>
      </w:tr>
      <w:tr>
        <w:tblPrEx>
          <w:tblBorders>
            <w:top w:val="dashSmallGap" w:color="auto" w:sz="4" w:space="0"/>
            <w:left w:val="none" w:color="auto" w:sz="0" w:space="0"/>
            <w:bottom w:val="dashSmallGap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5" w:type="dxa"/>
            <w:tcBorders>
              <w:top w:val="single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全网络整合营销实战</w:t>
            </w: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</w:tcBorders>
            <w:vAlign w:val="center"/>
          </w:tcPr>
          <w:p>
            <w:pPr>
              <w:autoSpaceDE w:val="0"/>
              <w:autoSpaceDN w:val="0"/>
              <w:spacing w:line="350" w:lineRule="exact"/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市场营销管理</w:t>
            </w:r>
          </w:p>
        </w:tc>
      </w:tr>
      <w:tr>
        <w:tblPrEx>
          <w:tblBorders>
            <w:top w:val="dashSmallGap" w:color="auto" w:sz="4" w:space="0"/>
            <w:left w:val="none" w:color="auto" w:sz="0" w:space="0"/>
            <w:bottom w:val="dashSmallGap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5" w:type="dxa"/>
            <w:tcBorders>
              <w:top w:val="single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网络交互营销策略工具</w:t>
            </w:r>
          </w:p>
          <w:p>
            <w:pPr>
              <w:pStyle w:val="4"/>
              <w:widowControl/>
              <w:numPr>
                <w:ilvl w:val="0"/>
                <w:numId w:val="2"/>
              </w:numPr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新媒体粉丝营销</w:t>
            </w:r>
          </w:p>
          <w:p>
            <w:pPr>
              <w:pStyle w:val="4"/>
              <w:widowControl/>
              <w:numPr>
                <w:ilvl w:val="0"/>
                <w:numId w:val="2"/>
              </w:numPr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活动营销-传统活动和网络活动的配合</w:t>
            </w:r>
          </w:p>
          <w:p>
            <w:pPr>
              <w:pStyle w:val="4"/>
              <w:widowControl/>
              <w:numPr>
                <w:ilvl w:val="0"/>
                <w:numId w:val="2"/>
              </w:numPr>
              <w:spacing w:before="0" w:beforeAutospacing="0" w:after="0" w:afterAutospacing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轻松自我诊断营销瓶颈</w:t>
            </w: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目标市场和企业定位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营销渠道建设和管理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价格策略的战术运用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</w:pPr>
            <w:r>
              <w:rPr>
                <w:rFonts w:hint="eastAsia" w:ascii="宋体" w:hAnsi="宋体" w:cs="宋体"/>
              </w:rPr>
              <w:t>广告、促销与媒体关系</w:t>
            </w:r>
          </w:p>
        </w:tc>
      </w:tr>
      <w:tr>
        <w:tblPrEx>
          <w:tblBorders>
            <w:top w:val="dashSmallGap" w:color="auto" w:sz="4" w:space="0"/>
            <w:left w:val="none" w:color="auto" w:sz="0" w:space="0"/>
            <w:bottom w:val="dashSmallGap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6" w:type="dxa"/>
            <w:gridSpan w:val="2"/>
            <w:tcBorders>
              <w:top w:val="single" w:color="auto" w:sz="4" w:space="0"/>
              <w:bottom w:val="dashSmallGap" w:color="auto" w:sz="4" w:space="0"/>
            </w:tcBorders>
            <w:shd w:val="clear" w:color="auto" w:fill="FF99CC"/>
            <w:vAlign w:val="center"/>
          </w:tcPr>
          <w:p>
            <w:pPr>
              <w:autoSpaceDE w:val="0"/>
              <w:autoSpaceDN w:val="0"/>
              <w:spacing w:line="350" w:lineRule="exact"/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模块三：产业资本运营创新与财税管理</w:t>
            </w:r>
          </w:p>
        </w:tc>
      </w:tr>
      <w:tr>
        <w:tblPrEx>
          <w:tblBorders>
            <w:top w:val="dashSmallGap" w:color="auto" w:sz="4" w:space="0"/>
            <w:left w:val="none" w:color="auto" w:sz="0" w:space="0"/>
            <w:bottom w:val="dashSmallGap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5" w:type="dxa"/>
            <w:tcBorders>
              <w:top w:val="single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8640"/>
              </w:tabs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zh-CN"/>
              </w:rPr>
              <w:t>现代金融与资本运作</w:t>
            </w: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</w:tcBorders>
            <w:vAlign w:val="center"/>
          </w:tcPr>
          <w:p>
            <w:p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企业财务管理及企业税收筹划</w:t>
            </w:r>
          </w:p>
        </w:tc>
      </w:tr>
      <w:tr>
        <w:tblPrEx>
          <w:tblBorders>
            <w:top w:val="dashSmallGap" w:color="auto" w:sz="4" w:space="0"/>
            <w:left w:val="none" w:color="auto" w:sz="0" w:space="0"/>
            <w:bottom w:val="dashSmallGap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5" w:type="dxa"/>
            <w:tcBorders>
              <w:top w:val="single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</w:rPr>
              <w:t>融资渠道创新与资本运营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zh-CN"/>
              </w:rPr>
              <w:t>供应链金融和网络金融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zh-CN"/>
              </w:rPr>
              <w:t>互联网金融与企业融资</w:t>
            </w:r>
            <w:r>
              <w:rPr>
                <w:rFonts w:hint="eastAsia" w:ascii="宋体" w:hAnsi="宋体" w:cs="宋体"/>
              </w:rPr>
              <w:t>企业兼并与收购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企业金融的风险管控</w:t>
            </w: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财务报表分析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企业现金流管理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税收筹划与经营成本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税制与税务风险防范</w:t>
            </w:r>
          </w:p>
        </w:tc>
      </w:tr>
      <w:tr>
        <w:tblPrEx>
          <w:tblBorders>
            <w:top w:val="dashSmallGap" w:color="auto" w:sz="4" w:space="0"/>
            <w:left w:val="none" w:color="auto" w:sz="0" w:space="0"/>
            <w:bottom w:val="dashSmallGap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5" w:type="dxa"/>
            <w:tcBorders>
              <w:top w:val="single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5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产业资本运营创新</w:t>
            </w: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</w:tcBorders>
            <w:vAlign w:val="center"/>
          </w:tcPr>
          <w:p>
            <w:pPr>
              <w:widowControl/>
              <w:tabs>
                <w:tab w:val="left" w:pos="8640"/>
              </w:tabs>
              <w:jc w:val="left"/>
              <w:rPr>
                <w:rFonts w:hint="eastAsia" w:ascii="宋体" w:hAnsi="宋体" w:cs="宋体"/>
                <w:b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222222"/>
                <w:szCs w:val="21"/>
                <w:shd w:val="clear" w:color="auto" w:fill="FFFFFF"/>
              </w:rPr>
              <w:t>互联网金融模式分析</w:t>
            </w:r>
          </w:p>
        </w:tc>
      </w:tr>
      <w:tr>
        <w:tblPrEx>
          <w:tblBorders>
            <w:top w:val="dashSmallGap" w:color="auto" w:sz="4" w:space="0"/>
            <w:left w:val="none" w:color="auto" w:sz="0" w:space="0"/>
            <w:bottom w:val="dashSmallGap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5" w:type="dxa"/>
            <w:tcBorders>
              <w:top w:val="single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420"/>
              </w:tabs>
              <w:autoSpaceDE w:val="0"/>
              <w:autoSpaceDN w:val="0"/>
              <w:spacing w:line="350" w:lineRule="exact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多层次资本市场的上市路径与市值管理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330" w:lineRule="atLeas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产业资本培育孵化与商业计划书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330" w:lineRule="atLeas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项目尽职调查、投资协议的谈判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330" w:lineRule="atLeas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多层次资本市场的投资退出新模式与投资回报分析</w:t>
            </w:r>
          </w:p>
          <w:p>
            <w:pPr>
              <w:autoSpaceDE w:val="0"/>
              <w:autoSpaceDN w:val="0"/>
              <w:spacing w:line="350" w:lineRule="exact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tabs>
                <w:tab w:val="left" w:pos="8640"/>
              </w:tabs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222222"/>
                <w:szCs w:val="21"/>
                <w:shd w:val="clear" w:color="auto" w:fill="FFFFFF"/>
              </w:rPr>
              <w:t>传统金融借助互联网渠道</w:t>
            </w:r>
          </w:p>
          <w:p>
            <w:pPr>
              <w:widowControl/>
              <w:numPr>
                <w:ilvl w:val="0"/>
                <w:numId w:val="4"/>
              </w:numPr>
              <w:tabs>
                <w:tab w:val="left" w:pos="8640"/>
              </w:tabs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222222"/>
                <w:szCs w:val="21"/>
                <w:shd w:val="clear" w:color="auto" w:fill="FFFFFF"/>
              </w:rPr>
              <w:t>电商平台金融</w:t>
            </w:r>
          </w:p>
          <w:p>
            <w:pPr>
              <w:widowControl/>
              <w:numPr>
                <w:ilvl w:val="0"/>
                <w:numId w:val="4"/>
              </w:numPr>
              <w:tabs>
                <w:tab w:val="left" w:pos="8640"/>
              </w:tabs>
              <w:rPr>
                <w:rFonts w:hint="eastAsia" w:ascii="宋体" w:hAnsi="宋体" w:cs="宋体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color w:val="222222"/>
                <w:sz w:val="21"/>
                <w:szCs w:val="21"/>
                <w:shd w:val="clear" w:color="auto" w:fill="FFFFFF"/>
              </w:rPr>
              <w:t>互联网众筹商业模式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222222"/>
                <w:szCs w:val="21"/>
                <w:shd w:val="clear" w:color="auto" w:fill="FFFFFF"/>
              </w:rPr>
              <w:t>交互式营销理念下的互联网金融平台</w:t>
            </w:r>
          </w:p>
        </w:tc>
      </w:tr>
      <w:tr>
        <w:tblPrEx>
          <w:tblBorders>
            <w:top w:val="dashSmallGap" w:color="auto" w:sz="4" w:space="0"/>
            <w:left w:val="none" w:color="auto" w:sz="0" w:space="0"/>
            <w:bottom w:val="dashSmallGap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6" w:type="dxa"/>
            <w:gridSpan w:val="2"/>
            <w:tcBorders>
              <w:top w:val="single" w:color="auto" w:sz="4" w:space="0"/>
              <w:bottom w:val="dashSmallGap" w:color="auto" w:sz="4" w:space="0"/>
            </w:tcBorders>
            <w:shd w:val="clear" w:color="auto" w:fill="FF99CC"/>
            <w:vAlign w:val="center"/>
          </w:tcPr>
          <w:p>
            <w:pPr>
              <w:autoSpaceDE w:val="0"/>
              <w:autoSpaceDN w:val="0"/>
              <w:spacing w:line="350" w:lineRule="exact"/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模块四：中国传统文化与现代经营哲学</w:t>
            </w:r>
          </w:p>
        </w:tc>
      </w:tr>
      <w:tr>
        <w:tblPrEx>
          <w:tblBorders>
            <w:top w:val="dashSmallGap" w:color="auto" w:sz="4" w:space="0"/>
            <w:left w:val="none" w:color="auto" w:sz="0" w:space="0"/>
            <w:bottom w:val="dashSmallGap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5" w:type="dxa"/>
            <w:tcBorders>
              <w:top w:val="single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50" w:lineRule="exact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国学精粹与现代管理</w:t>
            </w: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</w:tcBorders>
            <w:vAlign w:val="center"/>
          </w:tcPr>
          <w:p>
            <w:pPr>
              <w:autoSpaceDE w:val="0"/>
              <w:autoSpaceDN w:val="0"/>
              <w:spacing w:line="350" w:lineRule="exact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传统哲学与现代商战</w:t>
            </w:r>
          </w:p>
        </w:tc>
      </w:tr>
      <w:tr>
        <w:tblPrEx>
          <w:tblBorders>
            <w:top w:val="dashSmallGap" w:color="auto" w:sz="4" w:space="0"/>
            <w:left w:val="none" w:color="auto" w:sz="0" w:space="0"/>
            <w:bottom w:val="dashSmallGap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5" w:type="dxa"/>
            <w:tcBorders>
              <w:top w:val="single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儒家与现代企业管理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道家与现代企业管理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法家与现代企业管理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易经智慧与经营管理</w:t>
            </w: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孙子兵法与企业谋略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鬼谷子与经营智慧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晋商、徽商之道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博弈论与企业决策</w:t>
            </w:r>
          </w:p>
        </w:tc>
      </w:tr>
      <w:tr>
        <w:tblPrEx>
          <w:tblBorders>
            <w:top w:val="dashSmallGap" w:color="auto" w:sz="4" w:space="0"/>
            <w:left w:val="none" w:color="auto" w:sz="0" w:space="0"/>
            <w:bottom w:val="dashSmallGap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5" w:type="dxa"/>
            <w:tcBorders>
              <w:top w:val="single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50" w:lineRule="exact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领导艺术与领导智慧</w:t>
            </w: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</w:tcBorders>
            <w:vAlign w:val="center"/>
          </w:tcPr>
          <w:p>
            <w:pPr>
              <w:autoSpaceDE w:val="0"/>
              <w:autoSpaceDN w:val="0"/>
              <w:spacing w:line="350" w:lineRule="exact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卓越领导者心智模式</w:t>
            </w:r>
          </w:p>
        </w:tc>
      </w:tr>
      <w:tr>
        <w:tblPrEx>
          <w:tblBorders>
            <w:top w:val="dashSmallGap" w:color="auto" w:sz="4" w:space="0"/>
            <w:left w:val="none" w:color="auto" w:sz="0" w:space="0"/>
            <w:bottom w:val="dashSmallGap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5" w:type="dxa"/>
            <w:tcBorders>
              <w:top w:val="single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企业家人格魅力塑造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沟通与冲突管理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商务礼仪与谈判艺术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情商与影响力</w:t>
            </w: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心理调适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压力管理与情绪修炼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企业领导者心理变革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NLP领导模式</w:t>
            </w:r>
          </w:p>
        </w:tc>
      </w:tr>
    </w:tbl>
    <w:p>
      <w:pPr>
        <w:widowControl/>
        <w:ind w:firstLine="120" w:firstLineChars="50"/>
        <w:rPr>
          <w:rFonts w:hint="eastAsia" w:ascii="宋体" w:hAnsi="宋体" w:cs="宋体"/>
          <w:b/>
          <w:bCs/>
          <w:color w:val="000000"/>
          <w:kern w:val="0"/>
          <w:sz w:val="24"/>
        </w:rPr>
      </w:pPr>
    </w:p>
    <w:p>
      <w:pPr>
        <w:pStyle w:val="4"/>
        <w:widowControl/>
        <w:spacing w:before="0" w:beforeAutospacing="0" w:after="0" w:afterAutospacing="0"/>
        <w:ind w:firstLine="120" w:firstLineChars="50"/>
        <w:rPr>
          <w:rStyle w:val="6"/>
          <w:rFonts w:hint="eastAsia" w:ascii="宋体" w:hAnsi="宋体" w:eastAsia="宋体" w:cs="宋体"/>
          <w:b/>
          <w:bCs/>
          <w:color w:val="000000"/>
          <w:szCs w:val="24"/>
        </w:rPr>
      </w:pPr>
      <w:r>
        <w:rPr>
          <w:rStyle w:val="6"/>
          <w:rFonts w:hint="eastAsia" w:ascii="宋体" w:hAnsi="宋体" w:eastAsia="宋体" w:cs="宋体"/>
          <w:b/>
          <w:bCs/>
          <w:color w:val="000000"/>
          <w:szCs w:val="24"/>
        </w:rPr>
        <w:t>往届邀请师资：</w:t>
      </w:r>
    </w:p>
    <w:p>
      <w:pPr>
        <w:tabs>
          <w:tab w:val="left" w:pos="540"/>
          <w:tab w:val="left" w:pos="720"/>
        </w:tabs>
        <w:ind w:firstLine="120" w:firstLineChars="50"/>
        <w:jc w:val="left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sz w:val="24"/>
          <w:lang/>
        </w:rPr>
        <w:t xml:space="preserve">马晓河： 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国家发改委宏观经济研究院副院长</w:t>
      </w:r>
    </w:p>
    <w:p>
      <w:pPr>
        <w:tabs>
          <w:tab w:val="left" w:pos="540"/>
          <w:tab w:val="left" w:pos="720"/>
        </w:tabs>
        <w:ind w:firstLine="120" w:firstLineChars="50"/>
        <w:jc w:val="left"/>
        <w:rPr>
          <w:rFonts w:hint="eastAsia" w:ascii="宋体" w:hAnsi="宋体" w:cs="宋体"/>
          <w:sz w:val="24"/>
          <w:shd w:val="clear" w:color="auto" w:fill="FFFFFF"/>
        </w:rPr>
      </w:pPr>
      <w:r>
        <w:rPr>
          <w:rFonts w:hint="eastAsia" w:ascii="宋体" w:hAnsi="宋体" w:cs="宋体"/>
          <w:b/>
          <w:bCs/>
          <w:sz w:val="24"/>
        </w:rPr>
        <w:t>辜胜阻：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  <w:shd w:val="clear" w:color="auto" w:fill="FFFFFF"/>
        </w:rPr>
        <w:fldChar w:fldCharType="begin"/>
      </w:r>
      <w:r>
        <w:rPr>
          <w:rFonts w:hint="eastAsia" w:ascii="宋体" w:hAnsi="宋体" w:cs="宋体"/>
          <w:sz w:val="24"/>
          <w:shd w:val="clear" w:color="auto" w:fill="FFFFFF"/>
        </w:rPr>
        <w:instrText xml:space="preserve"> HYPERLINK "https://baike.baidu.com/item/%E5%85%A8%E5%9B%BD%E4%BA%BA%E6%B0%91%E4%BB%A3%E8%A1%A8%E5%A4%A7%E4%BC%9A%E8%B4%A2%E6%94%BF%E7%BB%8F%E6%B5%8E%E5%A7%94%E5%91%98%E4%BC%9A" \t "https://baike.baidu.com/item/%E8%BE%9C%E8%83%9C%E9%98%BB/_blank" </w:instrText>
      </w:r>
      <w:r>
        <w:rPr>
          <w:rFonts w:hint="eastAsia" w:ascii="宋体" w:hAnsi="宋体" w:cs="宋体"/>
          <w:sz w:val="24"/>
          <w:shd w:val="clear" w:color="auto" w:fill="FFFFFF"/>
        </w:rPr>
        <w:fldChar w:fldCharType="separate"/>
      </w:r>
      <w:r>
        <w:rPr>
          <w:rStyle w:val="13"/>
          <w:rFonts w:hint="eastAsia" w:ascii="宋体" w:hAnsi="宋体" w:eastAsia="宋体" w:cs="宋体"/>
          <w:b w:val="0"/>
          <w:color w:val="auto"/>
          <w:szCs w:val="24"/>
          <w:shd w:val="clear" w:color="auto" w:fill="FFFFFF"/>
        </w:rPr>
        <w:t>全国人民代表大会财政经济委员会</w:t>
      </w:r>
      <w:r>
        <w:rPr>
          <w:rFonts w:hint="eastAsia" w:ascii="宋体" w:hAnsi="宋体" w:cs="宋体"/>
          <w:sz w:val="24"/>
          <w:shd w:val="clear" w:color="auto" w:fill="FFFFFF"/>
        </w:rPr>
        <w:fldChar w:fldCharType="end"/>
      </w:r>
      <w:r>
        <w:rPr>
          <w:rFonts w:hint="eastAsia" w:ascii="宋体" w:hAnsi="宋体" w:cs="宋体"/>
          <w:sz w:val="24"/>
          <w:shd w:val="clear" w:color="auto" w:fill="FFFFFF"/>
        </w:rPr>
        <w:t>副主任委员，民建中央副主席</w:t>
      </w:r>
    </w:p>
    <w:p>
      <w:pPr>
        <w:tabs>
          <w:tab w:val="left" w:pos="540"/>
          <w:tab w:val="left" w:pos="720"/>
        </w:tabs>
        <w:ind w:firstLine="120" w:firstLineChars="50"/>
        <w:jc w:val="left"/>
        <w:rPr>
          <w:rFonts w:hint="eastAsia" w:ascii="宋体" w:hAnsi="宋体" w:cs="宋体"/>
          <w:color w:val="000000"/>
          <w:sz w:val="24"/>
          <w:lang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 xml:space="preserve">朱  雍： </w:t>
      </w:r>
      <w:r>
        <w:rPr>
          <w:rFonts w:hint="eastAsia" w:ascii="宋体" w:hAnsi="宋体" w:cs="宋体"/>
          <w:sz w:val="24"/>
        </w:rPr>
        <w:t>国务院政策研究机构资深经济学家，中国十大国学应用金牌导师</w:t>
      </w:r>
    </w:p>
    <w:p>
      <w:pPr>
        <w:ind w:right="-536" w:firstLine="120" w:firstLineChars="50"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 xml:space="preserve">韩秀云： </w:t>
      </w: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t>清华大学经济管理学院副教授、</w:t>
      </w: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fldChar w:fldCharType="begin"/>
      </w: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instrText xml:space="preserve"> HYPERLINK "https://baike.baidu.com/item/%E6%B8%85%E5%8D%8E%E5%A4%A7%E5%AD%A6%E4%B8%AD%E5%9B%BD%E7%BB%8F%E6%B5%8E%E7%A0%94%E7%A9%B6%E4%B8%AD%E5%BF%83" \t "https://baike.baidu.com/item/%E9%9F%A9%E7%A7%80%E4%BA%91/_blank" </w:instrText>
      </w: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fldChar w:fldCharType="separate"/>
      </w:r>
      <w:r>
        <w:rPr>
          <w:rStyle w:val="13"/>
          <w:rFonts w:hint="eastAsia" w:ascii="宋体" w:hAnsi="宋体" w:eastAsia="宋体" w:cs="宋体"/>
          <w:b w:val="0"/>
          <w:color w:val="auto"/>
          <w:szCs w:val="24"/>
          <w:shd w:val="clear" w:color="auto" w:fill="FFFFFF"/>
        </w:rPr>
        <w:t>清华大学中国经济研究中心</w:t>
      </w: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fldChar w:fldCharType="end"/>
      </w: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t>高级研究员</w:t>
      </w:r>
    </w:p>
    <w:p>
      <w:pPr>
        <w:ind w:right="420" w:firstLine="120" w:firstLineChars="50"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bCs/>
          <w:sz w:val="24"/>
          <w:shd w:val="clear" w:color="auto" w:fill="FFFFFF"/>
        </w:rPr>
        <w:t>金占明：</w:t>
      </w:r>
      <w:r>
        <w:rPr>
          <w:rFonts w:hint="eastAsia" w:ascii="宋体" w:hAnsi="宋体" w:cs="宋体"/>
          <w:sz w:val="24"/>
          <w:shd w:val="clear" w:color="auto" w:fill="FFFFFF"/>
        </w:rPr>
        <w:t xml:space="preserve"> </w:t>
      </w:r>
      <w:r>
        <w:rPr>
          <w:rFonts w:hint="eastAsia" w:ascii="宋体" w:hAnsi="宋体" w:cs="宋体"/>
          <w:sz w:val="24"/>
          <w:shd w:val="clear" w:color="auto" w:fill="FFFFFF"/>
        </w:rPr>
        <w:fldChar w:fldCharType="begin"/>
      </w:r>
      <w:r>
        <w:rPr>
          <w:rFonts w:hint="eastAsia" w:ascii="宋体" w:hAnsi="宋体" w:cs="宋体"/>
          <w:sz w:val="24"/>
          <w:shd w:val="clear" w:color="auto" w:fill="FFFFFF"/>
        </w:rPr>
        <w:instrText xml:space="preserve"> HYPERLINK "https://baike.baidu.com/item/%E6%B8%85%E5%8D%8E%E5%A4%A7%E5%AD%A6" \t "https://baike.baidu.com/item/_blank" </w:instrText>
      </w:r>
      <w:r>
        <w:rPr>
          <w:rFonts w:hint="eastAsia" w:ascii="宋体" w:hAnsi="宋体" w:cs="宋体"/>
          <w:sz w:val="24"/>
          <w:shd w:val="clear" w:color="auto" w:fill="FFFFFF"/>
        </w:rPr>
        <w:fldChar w:fldCharType="separate"/>
      </w:r>
      <w:r>
        <w:rPr>
          <w:rStyle w:val="13"/>
          <w:rFonts w:hint="eastAsia" w:ascii="宋体" w:hAnsi="宋体" w:eastAsia="宋体" w:cs="宋体"/>
          <w:b w:val="0"/>
          <w:color w:val="auto"/>
          <w:szCs w:val="24"/>
          <w:shd w:val="clear" w:color="auto" w:fill="FFFFFF"/>
        </w:rPr>
        <w:t>清华大学</w:t>
      </w:r>
      <w:r>
        <w:rPr>
          <w:rFonts w:hint="eastAsia" w:ascii="宋体" w:hAnsi="宋体" w:cs="宋体"/>
          <w:sz w:val="24"/>
          <w:shd w:val="clear" w:color="auto" w:fill="FFFFFF"/>
        </w:rPr>
        <w:fldChar w:fldCharType="end"/>
      </w:r>
      <w:r>
        <w:rPr>
          <w:rFonts w:hint="eastAsia" w:ascii="宋体" w:hAnsi="宋体" w:cs="宋体"/>
          <w:sz w:val="24"/>
          <w:shd w:val="clear" w:color="auto" w:fill="FFFFFF"/>
        </w:rPr>
        <w:t>经济管理学院教授、博士后、企业管理系副主任</w:t>
      </w:r>
    </w:p>
    <w:p>
      <w:pPr>
        <w:ind w:right="420" w:firstLine="120" w:firstLineChars="50"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 xml:space="preserve">何茂春： </w:t>
      </w:r>
      <w:r>
        <w:rPr>
          <w:rFonts w:hint="eastAsia" w:ascii="宋体" w:hAnsi="宋体" w:cs="宋体"/>
          <w:sz w:val="24"/>
        </w:rPr>
        <w:t>清华大学社会科学学院教授，博士生导师</w:t>
      </w:r>
    </w:p>
    <w:p>
      <w:pPr>
        <w:ind w:right="420" w:firstLine="120" w:firstLineChars="5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王晓毅</w:t>
      </w:r>
      <w:r>
        <w:rPr>
          <w:rFonts w:hint="eastAsia" w:ascii="宋体" w:hAnsi="宋体" w:cs="宋体"/>
          <w:b/>
          <w:color w:val="000000"/>
          <w:sz w:val="24"/>
          <w:lang w:val="zh-CN"/>
        </w:rPr>
        <w:t xml:space="preserve">： </w:t>
      </w:r>
      <w:r>
        <w:rPr>
          <w:rFonts w:hint="eastAsia" w:ascii="宋体" w:hAnsi="宋体" w:cs="宋体"/>
          <w:color w:val="333333"/>
          <w:sz w:val="24"/>
          <w:shd w:val="clear" w:color="auto" w:fill="FFFFFF"/>
        </w:rPr>
        <w:t>清华大学人文学院教授</w:t>
      </w:r>
      <w:r>
        <w:rPr>
          <w:rFonts w:hint="eastAsia" w:ascii="宋体" w:hAnsi="宋体" w:cs="宋体"/>
          <w:sz w:val="24"/>
        </w:rPr>
        <w:t>，博士生导师</w:t>
      </w:r>
    </w:p>
    <w:p>
      <w:pPr>
        <w:ind w:right="420" w:firstLine="120" w:firstLineChars="5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吴维库</w:t>
      </w:r>
      <w:r>
        <w:rPr>
          <w:rFonts w:hint="eastAsia" w:ascii="宋体" w:hAnsi="宋体" w:cs="宋体"/>
          <w:b/>
          <w:color w:val="000000"/>
          <w:sz w:val="24"/>
          <w:lang w:val="zh-CN"/>
        </w:rPr>
        <w:t>：</w:t>
      </w:r>
      <w:r>
        <w:rPr>
          <w:rFonts w:hint="eastAsia" w:ascii="宋体" w:hAnsi="宋体" w:cs="宋体"/>
          <w:sz w:val="24"/>
        </w:rPr>
        <w:t xml:space="preserve"> 清华大学经济管理学院教授，博士生导师</w:t>
      </w:r>
    </w:p>
    <w:p>
      <w:pPr>
        <w:ind w:right="-116" w:firstLine="120" w:firstLineChars="50"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 xml:space="preserve">李希光： </w:t>
      </w:r>
      <w:r>
        <w:rPr>
          <w:rFonts w:hint="eastAsia" w:ascii="宋体" w:hAnsi="宋体" w:cs="宋体"/>
          <w:color w:val="333333"/>
          <w:sz w:val="24"/>
          <w:shd w:val="clear" w:color="auto" w:fill="FFFFFF"/>
        </w:rPr>
        <w:t>清华大学新闻与传播学院常务副院长、清华大学国际传播研究中心主任</w:t>
      </w:r>
    </w:p>
    <w:p>
      <w:pPr>
        <w:ind w:right="-316" w:firstLine="120" w:firstLineChars="5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周 立</w:t>
      </w:r>
      <w:r>
        <w:rPr>
          <w:rFonts w:hint="eastAsia" w:ascii="宋体" w:hAnsi="宋体" w:cs="宋体"/>
          <w:b/>
          <w:color w:val="000000"/>
          <w:sz w:val="24"/>
          <w:lang w:val="zh-CN"/>
        </w:rPr>
        <w:t>：</w:t>
      </w:r>
      <w:r>
        <w:rPr>
          <w:rFonts w:hint="eastAsia" w:ascii="宋体" w:hAnsi="宋体" w:cs="宋体"/>
          <w:b/>
          <w:color w:val="000000"/>
          <w:sz w:val="24"/>
        </w:rPr>
        <w:t xml:space="preserve"> </w:t>
      </w:r>
      <w:r>
        <w:rPr>
          <w:rFonts w:hint="eastAsia" w:ascii="宋体" w:hAnsi="宋体" w:cs="宋体"/>
          <w:sz w:val="24"/>
        </w:rPr>
        <w:t xml:space="preserve"> 清华大学经管学院教授，海淀区政府顾问，国家科技部科技金融研究顾问</w:t>
      </w:r>
    </w:p>
    <w:p>
      <w:pPr>
        <w:ind w:right="420" w:firstLine="120" w:firstLineChars="50"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 xml:space="preserve">李 虹：  </w:t>
      </w:r>
      <w:r>
        <w:rPr>
          <w:rFonts w:hint="eastAsia" w:ascii="宋体" w:hAnsi="宋体" w:cs="宋体"/>
          <w:sz w:val="24"/>
        </w:rPr>
        <w:t>清华大学社会科学学院教授，博士生导师</w:t>
      </w:r>
    </w:p>
    <w:p>
      <w:pPr>
        <w:ind w:right="420" w:firstLine="120" w:firstLineChars="5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张 勇</w:t>
      </w:r>
      <w:r>
        <w:rPr>
          <w:rFonts w:hint="eastAsia" w:ascii="宋体" w:hAnsi="宋体" w:cs="宋体"/>
          <w:b/>
          <w:color w:val="000000"/>
          <w:sz w:val="24"/>
          <w:lang/>
        </w:rPr>
        <w:t>：</w:t>
      </w:r>
      <w:r>
        <w:rPr>
          <w:rFonts w:hint="eastAsia" w:ascii="宋体" w:hAnsi="宋体" w:cs="宋体"/>
          <w:b/>
          <w:color w:val="000000"/>
          <w:sz w:val="24"/>
        </w:rPr>
        <w:t xml:space="preserve"> </w:t>
      </w:r>
      <w:r>
        <w:rPr>
          <w:rFonts w:hint="eastAsia" w:ascii="宋体" w:hAnsi="宋体" w:cs="宋体"/>
          <w:b/>
          <w:color w:val="000000"/>
          <w:sz w:val="24"/>
          <w:lang/>
        </w:rPr>
        <w:t xml:space="preserve"> </w:t>
      </w:r>
      <w:r>
        <w:rPr>
          <w:rFonts w:hint="eastAsia" w:ascii="宋体" w:hAnsi="宋体" w:cs="宋体"/>
          <w:sz w:val="24"/>
        </w:rPr>
        <w:t>南开大学法学院院长、王牌教授、中国国际仲裁委员会委员</w:t>
      </w:r>
    </w:p>
    <w:p>
      <w:pPr>
        <w:ind w:right="420" w:firstLine="120" w:firstLineChars="5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魏志勇</w:t>
      </w:r>
      <w:r>
        <w:rPr>
          <w:rFonts w:hint="eastAsia" w:ascii="宋体" w:hAnsi="宋体" w:cs="宋体"/>
          <w:b/>
          <w:color w:val="000000"/>
          <w:sz w:val="24"/>
          <w:lang w:val="zh-CN"/>
        </w:rPr>
        <w:t>：</w:t>
      </w:r>
      <w:r>
        <w:rPr>
          <w:rFonts w:hint="eastAsia" w:ascii="宋体" w:hAnsi="宋体" w:cs="宋体"/>
          <w:sz w:val="24"/>
        </w:rPr>
        <w:t xml:space="preserve"> 国家人事部中国高级公务员培训中心人力资源开发处处长</w:t>
      </w:r>
    </w:p>
    <w:p>
      <w:pPr>
        <w:ind w:right="420" w:firstLine="120" w:firstLineChars="50"/>
        <w:jc w:val="left"/>
        <w:rPr>
          <w:rFonts w:hint="eastAsia" w:ascii="宋体" w:hAnsi="宋体" w:cs="宋体"/>
          <w:color w:val="333333"/>
          <w:sz w:val="24"/>
          <w:shd w:val="clear" w:color="auto" w:fill="FFFFFF"/>
        </w:rPr>
      </w:pPr>
      <w:r>
        <w:rPr>
          <w:rFonts w:hint="eastAsia" w:ascii="宋体" w:hAnsi="宋体" w:cs="宋体"/>
          <w:b/>
          <w:bCs/>
          <w:sz w:val="24"/>
        </w:rPr>
        <w:t xml:space="preserve">张晓丽： </w:t>
      </w:r>
      <w:r>
        <w:rPr>
          <w:rFonts w:hint="eastAsia" w:ascii="宋体" w:hAnsi="宋体" w:cs="宋体"/>
          <w:color w:val="333333"/>
          <w:sz w:val="24"/>
          <w:shd w:val="clear" w:color="auto" w:fill="FFFFFF"/>
        </w:rPr>
        <w:t>北京明德天盛投资管理中心执行事务合伙人</w:t>
      </w:r>
    </w:p>
    <w:p>
      <w:pPr>
        <w:ind w:firstLine="120" w:firstLineChars="50"/>
        <w:jc w:val="left"/>
        <w:rPr>
          <w:rFonts w:hint="eastAsia" w:ascii="宋体" w:hAnsi="宋体" w:cs="宋体"/>
          <w:bCs/>
          <w:kern w:val="0"/>
          <w:sz w:val="24"/>
          <w:lang w:val="zh-CN"/>
        </w:rPr>
      </w:pPr>
      <w:r>
        <w:rPr>
          <w:rFonts w:hint="eastAsia" w:ascii="宋体" w:hAnsi="宋体" w:cs="宋体"/>
          <w:b/>
          <w:kern w:val="0"/>
          <w:sz w:val="24"/>
        </w:rPr>
        <w:t xml:space="preserve">潘朝金： </w:t>
      </w:r>
      <w:r>
        <w:rPr>
          <w:rFonts w:hint="eastAsia" w:ascii="宋体" w:hAnsi="宋体" w:cs="宋体"/>
          <w:sz w:val="24"/>
          <w:shd w:val="clear" w:color="auto" w:fill="FFFFFF"/>
        </w:rPr>
        <w:fldChar w:fldCharType="begin"/>
      </w:r>
      <w:r>
        <w:rPr>
          <w:rFonts w:hint="eastAsia" w:ascii="宋体" w:hAnsi="宋体" w:cs="宋体"/>
          <w:sz w:val="24"/>
          <w:shd w:val="clear" w:color="auto" w:fill="FFFFFF"/>
        </w:rPr>
        <w:instrText xml:space="preserve">HYPERLINK "http://baike.baidu.com/view/5555353.htm"</w:instrText>
      </w:r>
      <w:r>
        <w:rPr>
          <w:rFonts w:hint="eastAsia" w:ascii="宋体" w:hAnsi="宋体" w:cs="宋体"/>
          <w:sz w:val="24"/>
          <w:shd w:val="clear" w:color="auto" w:fill="FFFFFF"/>
        </w:rPr>
        <w:fldChar w:fldCharType="separate"/>
      </w:r>
      <w:r>
        <w:rPr>
          <w:rFonts w:hint="eastAsia" w:ascii="宋体" w:hAnsi="宋体" w:cs="宋体"/>
          <w:sz w:val="24"/>
          <w:shd w:val="clear" w:color="auto" w:fill="FFFFFF"/>
        </w:rPr>
        <w:t>中美嘉伦</w:t>
      </w:r>
      <w:r>
        <w:rPr>
          <w:rFonts w:hint="eastAsia" w:ascii="宋体" w:hAnsi="宋体" w:cs="宋体"/>
          <w:sz w:val="24"/>
          <w:shd w:val="clear" w:color="auto" w:fill="FFFFFF"/>
        </w:rPr>
        <w:fldChar w:fldCharType="end"/>
      </w:r>
      <w:r>
        <w:rPr>
          <w:rFonts w:hint="eastAsia" w:ascii="宋体" w:hAnsi="宋体" w:cs="宋体"/>
          <w:sz w:val="24"/>
          <w:shd w:val="clear" w:color="auto" w:fill="FFFFFF"/>
        </w:rPr>
        <w:t>国际咨询（北京）有限公司</w:t>
      </w:r>
    </w:p>
    <w:p>
      <w:pPr>
        <w:tabs>
          <w:tab w:val="left" w:pos="540"/>
          <w:tab w:val="left" w:pos="720"/>
        </w:tabs>
        <w:ind w:firstLine="120" w:firstLineChars="50"/>
        <w:jc w:val="left"/>
        <w:rPr>
          <w:rFonts w:hint="eastAsia" w:ascii="宋体" w:hAnsi="宋体" w:cs="宋体"/>
          <w:color w:val="000000"/>
          <w:sz w:val="24"/>
          <w:lang/>
        </w:rPr>
      </w:pPr>
      <w:r>
        <w:rPr>
          <w:rFonts w:hint="eastAsia" w:ascii="宋体" w:hAnsi="宋体" w:cs="宋体"/>
          <w:b/>
          <w:color w:val="000000"/>
          <w:sz w:val="24"/>
          <w:lang/>
        </w:rPr>
        <w:t xml:space="preserve">刘启明： </w:t>
      </w:r>
      <w:r>
        <w:rPr>
          <w:rFonts w:hint="eastAsia" w:ascii="宋体" w:hAnsi="宋体" w:cs="宋体"/>
          <w:color w:val="000000"/>
          <w:kern w:val="0"/>
          <w:sz w:val="24"/>
        </w:rPr>
        <w:t>世界著名咨询公司美国NFO公司亚洲区副总裁</w:t>
      </w:r>
    </w:p>
    <w:p>
      <w:pPr>
        <w:tabs>
          <w:tab w:val="left" w:pos="540"/>
          <w:tab w:val="left" w:pos="720"/>
        </w:tabs>
        <w:ind w:firstLine="120" w:firstLineChars="50"/>
        <w:jc w:val="left"/>
        <w:rPr>
          <w:rFonts w:hint="eastAsia" w:ascii="宋体" w:hAnsi="宋体" w:cs="宋体"/>
          <w:color w:val="000000"/>
          <w:sz w:val="24"/>
          <w:lang w:val="zh-CN"/>
        </w:rPr>
      </w:pPr>
      <w:r>
        <w:rPr>
          <w:rFonts w:hint="eastAsia" w:ascii="宋体" w:hAnsi="宋体" w:cs="宋体"/>
          <w:b/>
          <w:color w:val="000000"/>
          <w:sz w:val="24"/>
          <w:lang w:val="zh-CN"/>
        </w:rPr>
        <w:t xml:space="preserve">路长全： </w:t>
      </w:r>
      <w:r>
        <w:rPr>
          <w:rFonts w:hint="eastAsia" w:ascii="宋体" w:hAnsi="宋体" w:cs="宋体"/>
          <w:color w:val="000000"/>
          <w:sz w:val="24"/>
          <w:lang w:val="zh-CN"/>
        </w:rPr>
        <w:t>中国最具价值的营销实战专家</w:t>
      </w:r>
    </w:p>
    <w:p>
      <w:pPr>
        <w:tabs>
          <w:tab w:val="left" w:pos="540"/>
          <w:tab w:val="left" w:pos="720"/>
        </w:tabs>
        <w:ind w:firstLine="120" w:firstLineChars="50"/>
        <w:jc w:val="left"/>
        <w:rPr>
          <w:rFonts w:hint="eastAsia" w:ascii="宋体" w:hAnsi="宋体" w:cs="宋体"/>
          <w:color w:val="000000"/>
          <w:spacing w:val="15"/>
          <w:kern w:val="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 xml:space="preserve">杨连合： </w:t>
      </w:r>
      <w:r>
        <w:rPr>
          <w:rFonts w:hint="eastAsia" w:ascii="宋体" w:hAnsi="宋体" w:cs="宋体"/>
          <w:color w:val="000000"/>
          <w:spacing w:val="15"/>
          <w:kern w:val="0"/>
          <w:sz w:val="24"/>
        </w:rPr>
        <w:t>淘宝大学千人讲师总教官</w:t>
      </w:r>
    </w:p>
    <w:p>
      <w:pPr>
        <w:pStyle w:val="4"/>
        <w:widowControl/>
        <w:spacing w:before="0" w:beforeAutospacing="0" w:after="0" w:afterAutospacing="0"/>
        <w:ind w:right="16" w:firstLine="120" w:firstLineChars="50"/>
        <w:rPr>
          <w:rFonts w:hint="eastAsia" w:ascii="宋体" w:hAnsi="宋体" w:cs="宋体"/>
          <w:color w:val="000000"/>
        </w:rPr>
      </w:pPr>
      <w:r>
        <w:rPr>
          <w:rFonts w:hint="eastAsia" w:ascii="宋体" w:hAnsi="宋体" w:cs="宋体"/>
          <w:b/>
          <w:color w:val="000000"/>
        </w:rPr>
        <w:t xml:space="preserve">万 钧：  </w:t>
      </w:r>
      <w:r>
        <w:rPr>
          <w:rFonts w:hint="eastAsia" w:ascii="宋体" w:hAnsi="宋体" w:cs="宋体"/>
          <w:color w:val="000000"/>
        </w:rPr>
        <w:t>高级商务策划师，著名企业培训师，营销管理专家</w:t>
      </w:r>
    </w:p>
    <w:p>
      <w:pPr>
        <w:tabs>
          <w:tab w:val="left" w:pos="540"/>
          <w:tab w:val="left" w:pos="720"/>
        </w:tabs>
        <w:ind w:firstLine="120" w:firstLineChars="50"/>
        <w:jc w:val="left"/>
        <w:rPr>
          <w:rFonts w:hint="eastAsia"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 xml:space="preserve">金 超:   </w:t>
      </w:r>
      <w:r>
        <w:rPr>
          <w:rFonts w:hint="eastAsia" w:ascii="宋体" w:hAnsi="宋体" w:cs="宋体"/>
          <w:color w:val="000000"/>
          <w:kern w:val="0"/>
          <w:sz w:val="24"/>
        </w:rPr>
        <w:t>清华智府商业模式研究中心高级研究员，</w:t>
      </w:r>
      <w:r>
        <w:rPr>
          <w:rFonts w:hint="eastAsia" w:ascii="宋体" w:hAnsi="宋体" w:cs="宋体"/>
          <w:color w:val="000000"/>
          <w:sz w:val="24"/>
        </w:rPr>
        <w:t>商业模式6R模型创建者</w:t>
      </w:r>
    </w:p>
    <w:p>
      <w:pPr>
        <w:tabs>
          <w:tab w:val="left" w:pos="540"/>
          <w:tab w:val="left" w:pos="720"/>
        </w:tabs>
        <w:ind w:firstLine="120" w:firstLineChars="50"/>
        <w:jc w:val="left"/>
        <w:rPr>
          <w:rFonts w:hint="eastAsia"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 xml:space="preserve">王 琼：  </w:t>
      </w:r>
      <w:r>
        <w:rPr>
          <w:rFonts w:hint="eastAsia" w:ascii="宋体" w:hAnsi="宋体" w:cs="宋体"/>
          <w:color w:val="000000"/>
          <w:kern w:val="0"/>
          <w:sz w:val="24"/>
        </w:rPr>
        <w:t>中信证券股份有限公司新三板业务部副总裁</w:t>
      </w:r>
    </w:p>
    <w:p>
      <w:pPr>
        <w:ind w:right="420" w:firstLine="120" w:firstLineChars="5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江 英</w:t>
      </w:r>
      <w:r>
        <w:rPr>
          <w:rFonts w:hint="eastAsia" w:ascii="宋体" w:hAnsi="宋体" w:cs="宋体"/>
          <w:b/>
          <w:color w:val="000000"/>
          <w:sz w:val="24"/>
          <w:lang/>
        </w:rPr>
        <w:t>：</w:t>
      </w:r>
      <w:r>
        <w:rPr>
          <w:rFonts w:hint="eastAsia" w:ascii="宋体" w:hAnsi="宋体" w:cs="宋体"/>
          <w:b/>
          <w:color w:val="000000"/>
          <w:sz w:val="24"/>
        </w:rPr>
        <w:t xml:space="preserve"> </w:t>
      </w:r>
      <w:r>
        <w:rPr>
          <w:rFonts w:hint="eastAsia" w:ascii="宋体" w:hAnsi="宋体" w:cs="宋体"/>
          <w:sz w:val="24"/>
        </w:rPr>
        <w:t xml:space="preserve"> 中国军事科学院研究员，博士生导师，正师职，大校军衔</w:t>
      </w:r>
    </w:p>
    <w:p>
      <w:pPr>
        <w:ind w:right="420" w:firstLine="120" w:firstLineChars="50"/>
        <w:jc w:val="left"/>
        <w:rPr>
          <w:rFonts w:hint="eastAsia" w:ascii="宋体" w:hAnsi="宋体" w:cs="宋体"/>
          <w:sz w:val="24"/>
          <w:shd w:val="clear" w:color="auto" w:fill="FFFFFF"/>
        </w:rPr>
      </w:pPr>
      <w:r>
        <w:rPr>
          <w:rFonts w:hint="eastAsia" w:ascii="宋体" w:hAnsi="宋体" w:cs="宋体"/>
          <w:b/>
          <w:bCs/>
          <w:sz w:val="24"/>
        </w:rPr>
        <w:t xml:space="preserve">李 智：  </w:t>
      </w:r>
      <w:r>
        <w:rPr>
          <w:rFonts w:hint="eastAsia" w:ascii="宋体" w:hAnsi="宋体" w:cs="宋体"/>
          <w:color w:val="333333"/>
          <w:sz w:val="24"/>
          <w:shd w:val="clear" w:color="auto" w:fill="FFFFFF"/>
        </w:rPr>
        <w:t>中国中医科学</w:t>
      </w:r>
      <w:r>
        <w:rPr>
          <w:rFonts w:hint="eastAsia" w:ascii="宋体" w:hAnsi="宋体" w:cs="宋体"/>
          <w:sz w:val="24"/>
          <w:shd w:val="clear" w:color="auto" w:fill="FFFFFF"/>
        </w:rPr>
        <w:t>院西苑医院</w:t>
      </w:r>
    </w:p>
    <w:p>
      <w:pPr>
        <w:ind w:right="420" w:firstLine="120" w:firstLineChars="50"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宋体" w:hAnsi="宋体" w:cs="宋体"/>
          <w:b/>
          <w:kern w:val="0"/>
          <w:sz w:val="24"/>
          <w:shd w:val="clear" w:color="auto" w:fill="FFFFFF"/>
          <w:lang w:bidi="ar"/>
        </w:rPr>
        <w:t xml:space="preserve">    </w:t>
      </w:r>
      <w:r>
        <w:rPr>
          <w:rFonts w:hint="eastAsia" w:ascii="宋体" w:hAnsi="宋体" w:cs="宋体"/>
          <w:b/>
          <w:sz w:val="24"/>
        </w:rPr>
        <w:t>【教学管理】</w:t>
      </w:r>
    </w:p>
    <w:p>
      <w:pPr>
        <w:ind w:left="105" w:leftChars="5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1、研修班设班主任一名，负责相关的教学管理工作；由班主任协助组建班委会，选举班长等班委会人员，协助教学管理；</w:t>
      </w:r>
    </w:p>
    <w:p>
      <w:pPr>
        <w:ind w:left="105" w:leftChars="5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2、评选优秀学员，颁发优秀学员荣誉证书；</w:t>
      </w:r>
    </w:p>
    <w:p>
      <w:pPr>
        <w:ind w:firstLine="120" w:firstLineChars="50"/>
        <w:jc w:val="left"/>
        <w:rPr>
          <w:rFonts w:hint="eastAsia" w:ascii="宋体" w:hAnsi="宋体" w:cs="宋体"/>
          <w:kern w:val="0"/>
          <w:sz w:val="24"/>
        </w:rPr>
      </w:pPr>
    </w:p>
    <w:p>
      <w:pPr>
        <w:ind w:firstLine="120" w:firstLineChars="5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【报名流程】</w:t>
      </w:r>
    </w:p>
    <w:p>
      <w:pPr>
        <w:ind w:firstLine="120" w:firstLineChars="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1、填写申请表、身份证及学历证明复印件、公司传真至010-;</w:t>
      </w:r>
    </w:p>
    <w:p>
      <w:pPr>
        <w:ind w:firstLine="120" w:firstLineChars="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2、申请资料经审核，参考个人背景、工作业绩和报名顺序，确定录取名单;</w:t>
      </w:r>
    </w:p>
    <w:p>
      <w:pPr>
        <w:ind w:firstLine="120" w:firstLineChars="5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3、报到时请携带三张蓝底二寸照片，并出示本人身份证原件</w:t>
      </w:r>
    </w:p>
    <w:p>
      <w:pPr>
        <w:ind w:firstLine="120" w:firstLineChars="50"/>
        <w:jc w:val="left"/>
        <w:rPr>
          <w:rFonts w:hint="eastAsia" w:ascii="宋体" w:hAnsi="宋体" w:cs="宋体"/>
          <w:sz w:val="24"/>
        </w:rPr>
      </w:pPr>
    </w:p>
    <w:p>
      <w:pPr>
        <w:ind w:firstLine="120" w:firstLineChars="50"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【证书颁发】</w:t>
      </w:r>
    </w:p>
    <w:p>
      <w:pPr>
        <w:ind w:firstLine="120" w:firstLineChars="50"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Cs/>
          <w:sz w:val="24"/>
        </w:rPr>
        <w:t>学完全部课程并考核合格后，由我院颁发结业证书。</w:t>
      </w:r>
    </w:p>
    <w:p>
      <w:pPr>
        <w:ind w:firstLine="120" w:firstLineChars="50"/>
        <w:jc w:val="left"/>
        <w:rPr>
          <w:rFonts w:hint="eastAsia" w:ascii="宋体" w:hAnsi="宋体" w:cs="宋体"/>
          <w:b/>
          <w:sz w:val="24"/>
        </w:rPr>
      </w:pPr>
    </w:p>
    <w:p>
      <w:pPr>
        <w:ind w:firstLine="120" w:firstLineChars="50"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【增值部分】</w:t>
      </w:r>
    </w:p>
    <w:p>
      <w:pPr>
        <w:ind w:firstLine="120" w:firstLineChars="5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1、学习结束后,可终生享受本班型的免费听课。</w:t>
      </w:r>
    </w:p>
    <w:p>
      <w:pPr>
        <w:ind w:firstLine="120" w:firstLineChars="5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2、入学即自动成为“紫荆企业家同学会”会员，享受同学会提供的各种人脉、信息等服务。</w:t>
      </w:r>
    </w:p>
    <w:p>
      <w:pPr>
        <w:ind w:firstLine="120" w:firstLineChars="5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3、参加中心组织的每年一届的“紫荆企业家高峰论坛”。</w:t>
      </w:r>
    </w:p>
    <w:p>
      <w:pPr>
        <w:ind w:firstLine="120" w:firstLineChars="50"/>
        <w:jc w:val="left"/>
        <w:rPr>
          <w:rFonts w:hint="eastAsia" w:ascii="宋体" w:hAnsi="宋体" w:cs="宋体"/>
          <w:color w:val="E36C09"/>
          <w:sz w:val="24"/>
        </w:rPr>
      </w:pPr>
      <w:r>
        <w:rPr>
          <w:rFonts w:hint="eastAsia" w:ascii="宋体" w:hAnsi="宋体" w:cs="宋体"/>
          <w:bCs/>
          <w:sz w:val="24"/>
        </w:rPr>
        <w:t>4、参加我院组织的赴欧美的学习、考察活动。</w:t>
      </w:r>
      <w:r>
        <w:rPr>
          <w:rFonts w:hint="eastAsia" w:ascii="宋体" w:hAnsi="宋体" w:cs="宋体"/>
          <w:bCs/>
          <w:kern w:val="0"/>
          <w:sz w:val="24"/>
          <w:shd w:val="clear" w:color="auto" w:fill="FFFFFF"/>
          <w:lang w:bidi="ar"/>
        </w:rPr>
        <w:br w:type="textWrapping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jc w:val="left"/>
        <w:outlineLvl w:val="9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【联系方式】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jc w:val="left"/>
        <w:outlineLvl w:val="9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联系人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：赵老师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15911037933   韩老师 13521118358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jc w:val="left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电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话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010-60531730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微信号：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15911037933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jc w:val="left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邮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箱：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"mailto:qinghuadaxueyx@163.com"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Style w:val="13"/>
          <w:rFonts w:hint="eastAsia" w:ascii="宋体" w:hAnsi="宋体" w:eastAsia="宋体" w:cs="宋体"/>
          <w:sz w:val="24"/>
          <w:szCs w:val="24"/>
          <w:lang w:val="en-US" w:eastAsia="zh-CN"/>
        </w:rPr>
        <w:t>qinghuadaxueyx@163.com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"mailto:2889303302@qq.com"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Style w:val="13"/>
          <w:rFonts w:hint="eastAsia" w:ascii="宋体" w:hAnsi="宋体" w:eastAsia="宋体" w:cs="宋体"/>
          <w:sz w:val="24"/>
          <w:szCs w:val="24"/>
          <w:lang w:val="en-US" w:eastAsia="zh-CN"/>
        </w:rPr>
        <w:t>2889303302@qq.com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 w:cs="宋体"/>
          <w:sz w:val="24"/>
        </w:rPr>
      </w:pPr>
    </w:p>
    <w:p>
      <w:pPr>
        <w:spacing w:before="249" w:beforeLines="80" w:after="93" w:afterLines="30" w:line="480" w:lineRule="auto"/>
        <w:rPr>
          <w:rFonts w:hint="eastAsia" w:ascii="宋体" w:hAnsi="宋体"/>
          <w:b/>
          <w:color w:val="000000"/>
          <w:spacing w:val="10"/>
          <w:sz w:val="36"/>
          <w:szCs w:val="36"/>
        </w:rPr>
      </w:pPr>
    </w:p>
    <w:p>
      <w:pPr>
        <w:spacing w:before="249" w:beforeLines="80" w:after="93" w:afterLines="30" w:line="480" w:lineRule="auto"/>
        <w:rPr>
          <w:rFonts w:hint="eastAsia" w:ascii="宋体" w:hAnsi="宋体"/>
          <w:b/>
          <w:color w:val="000000"/>
          <w:spacing w:val="10"/>
          <w:sz w:val="36"/>
          <w:szCs w:val="36"/>
        </w:rPr>
      </w:pPr>
    </w:p>
    <w:p>
      <w:pPr>
        <w:spacing w:before="249" w:beforeLines="80" w:after="93" w:afterLines="30" w:line="480" w:lineRule="auto"/>
        <w:rPr>
          <w:rFonts w:hint="eastAsia" w:ascii="宋体" w:hAnsi="宋体"/>
          <w:b/>
          <w:color w:val="000000"/>
          <w:spacing w:val="10"/>
          <w:sz w:val="36"/>
          <w:szCs w:val="36"/>
        </w:rPr>
      </w:pPr>
    </w:p>
    <w:p>
      <w:pPr>
        <w:spacing w:before="249" w:beforeLines="80" w:after="93" w:afterLines="30" w:line="480" w:lineRule="auto"/>
        <w:rPr>
          <w:rFonts w:hint="eastAsia" w:ascii="宋体" w:hAnsi="宋体"/>
          <w:b/>
          <w:color w:val="000000"/>
          <w:spacing w:val="10"/>
          <w:sz w:val="36"/>
          <w:szCs w:val="36"/>
        </w:rPr>
      </w:pPr>
    </w:p>
    <w:p>
      <w:pPr>
        <w:spacing w:before="249" w:beforeLines="80" w:after="93" w:afterLines="30" w:line="480" w:lineRule="auto"/>
        <w:rPr>
          <w:rFonts w:hint="eastAsia" w:ascii="宋体" w:hAnsi="宋体"/>
          <w:b/>
          <w:color w:val="000000"/>
          <w:spacing w:val="10"/>
          <w:sz w:val="36"/>
          <w:szCs w:val="36"/>
        </w:rPr>
      </w:pPr>
    </w:p>
    <w:p>
      <w:pPr>
        <w:spacing w:before="249" w:beforeLines="80" w:after="93" w:afterLines="30" w:line="480" w:lineRule="auto"/>
        <w:rPr>
          <w:rFonts w:hint="eastAsia" w:ascii="宋体" w:hAnsi="宋体"/>
          <w:b/>
          <w:color w:val="000000"/>
          <w:spacing w:val="10"/>
          <w:sz w:val="36"/>
          <w:szCs w:val="36"/>
        </w:rPr>
      </w:pPr>
    </w:p>
    <w:p>
      <w:pPr>
        <w:spacing w:before="249" w:beforeLines="80" w:after="93" w:afterLines="30" w:line="480" w:lineRule="auto"/>
        <w:rPr>
          <w:rFonts w:hint="eastAsia" w:ascii="宋体" w:hAnsi="宋体"/>
          <w:b/>
          <w:color w:val="000000"/>
          <w:spacing w:val="10"/>
          <w:sz w:val="36"/>
          <w:szCs w:val="36"/>
        </w:rPr>
      </w:pPr>
    </w:p>
    <w:p>
      <w:pPr>
        <w:spacing w:before="249" w:beforeLines="80" w:after="93" w:afterLines="30" w:line="480" w:lineRule="auto"/>
        <w:jc w:val="center"/>
        <w:rPr>
          <w:rFonts w:hint="eastAsia" w:ascii="宋体" w:hAnsi="宋体"/>
          <w:b/>
          <w:color w:val="000000"/>
          <w:spacing w:val="10"/>
          <w:sz w:val="36"/>
          <w:szCs w:val="36"/>
        </w:rPr>
      </w:pPr>
      <w:r>
        <w:rPr>
          <w:rFonts w:hint="eastAsia" w:ascii="宋体" w:hAnsi="宋体"/>
          <w:b/>
          <w:color w:val="000000"/>
          <w:spacing w:val="10"/>
          <w:sz w:val="36"/>
          <w:szCs w:val="36"/>
        </w:rPr>
        <w:t>清大·创新型企业工商管理(EMBA)</w:t>
      </w:r>
      <w:r>
        <w:rPr>
          <w:rFonts w:ascii="宋体" w:hAnsi="宋体"/>
          <w:b/>
          <w:color w:val="000000"/>
          <w:spacing w:val="10"/>
          <w:sz w:val="36"/>
          <w:szCs w:val="36"/>
        </w:rPr>
        <w:t>高级研修班</w:t>
      </w:r>
    </w:p>
    <w:p>
      <w:pPr>
        <w:spacing w:before="249" w:beforeLines="80" w:after="93" w:afterLines="30" w:line="320" w:lineRule="exact"/>
        <w:jc w:val="center"/>
        <w:rPr>
          <w:rFonts w:ascii="宋体"/>
          <w:color w:val="000000"/>
          <w:sz w:val="30"/>
          <w:szCs w:val="30"/>
        </w:rPr>
      </w:pPr>
      <w:r>
        <w:rPr>
          <w:rFonts w:hint="eastAsia" w:ascii="宋体"/>
          <w:b/>
          <w:color w:val="000000"/>
          <w:spacing w:val="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99060</wp:posOffset>
                </wp:positionV>
                <wp:extent cx="1828800" cy="22542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填表日期：　   年　 月　 日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300pt;margin-top:7.8pt;height:17.75pt;width:144pt;z-index:251658240;mso-width-relative:page;mso-height-relative:page;" filled="f" stroked="f" coordsize="21600,21600" o:gfxdata="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JM9Y8tcAAAAJAQAADwAAAAAAAAAB&#10;ACAAAAAiAAAAZHJzL2Rvd25yZXYueG1sUEsBAhQAFAAAAAgAh07iQLQay8mfAQAAOg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填表日期：　   年　 月　 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000000"/>
          <w:spacing w:val="10"/>
          <w:sz w:val="32"/>
          <w:szCs w:val="32"/>
        </w:rPr>
        <w:t>报名申请表</w:t>
      </w:r>
    </w:p>
    <w:tbl>
      <w:tblPr>
        <w:tblStyle w:val="16"/>
        <w:tblW w:w="89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2771"/>
        <w:gridCol w:w="1124"/>
        <w:gridCol w:w="1328"/>
        <w:gridCol w:w="964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683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姓    名*</w:t>
            </w:r>
          </w:p>
        </w:tc>
        <w:tc>
          <w:tcPr>
            <w:tcW w:w="2771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124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出生年月</w:t>
            </w:r>
          </w:p>
        </w:tc>
        <w:tc>
          <w:tcPr>
            <w:tcW w:w="1328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964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籍　 贯</w:t>
            </w:r>
          </w:p>
        </w:tc>
        <w:tc>
          <w:tcPr>
            <w:tcW w:w="1033" w:type="dxa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683" w:type="dxa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/>
                <w:b/>
                <w:kern w:val="10"/>
              </w:rPr>
            </w:pPr>
            <w:r>
              <w:rPr>
                <w:rFonts w:hint="eastAsia" w:ascii="宋体"/>
                <w:b/>
                <w:spacing w:val="22"/>
                <w:kern w:val="10"/>
              </w:rPr>
              <w:t>身份证号</w:t>
            </w:r>
            <w:r>
              <w:rPr>
                <w:rFonts w:hint="eastAsia" w:ascii="宋体"/>
                <w:b/>
                <w:spacing w:val="2"/>
                <w:kern w:val="10"/>
              </w:rPr>
              <w:t>码*</w:t>
            </w:r>
          </w:p>
        </w:tc>
        <w:tc>
          <w:tcPr>
            <w:tcW w:w="2771" w:type="dxa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124" w:type="dxa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学  　历</w:t>
            </w:r>
          </w:p>
        </w:tc>
        <w:tc>
          <w:tcPr>
            <w:tcW w:w="1328" w:type="dxa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964" w:type="dxa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专 　业</w:t>
            </w:r>
          </w:p>
        </w:tc>
        <w:tc>
          <w:tcPr>
            <w:tcW w:w="1033" w:type="dxa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683" w:type="dxa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单位名称*</w:t>
            </w:r>
          </w:p>
        </w:tc>
        <w:tc>
          <w:tcPr>
            <w:tcW w:w="5223" w:type="dxa"/>
            <w:gridSpan w:val="3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964" w:type="dxa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职　 务</w:t>
            </w:r>
          </w:p>
        </w:tc>
        <w:tc>
          <w:tcPr>
            <w:tcW w:w="1033" w:type="dxa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683" w:type="dxa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通讯地址*</w:t>
            </w:r>
          </w:p>
        </w:tc>
        <w:tc>
          <w:tcPr>
            <w:tcW w:w="5223" w:type="dxa"/>
            <w:gridSpan w:val="3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964" w:type="dxa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邮　 编</w:t>
            </w:r>
          </w:p>
        </w:tc>
        <w:tc>
          <w:tcPr>
            <w:tcW w:w="1033" w:type="dxa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683" w:type="dxa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联系电话*</w:t>
            </w:r>
          </w:p>
        </w:tc>
        <w:tc>
          <w:tcPr>
            <w:tcW w:w="2771" w:type="dxa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124" w:type="dxa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手   机*</w:t>
            </w:r>
          </w:p>
        </w:tc>
        <w:tc>
          <w:tcPr>
            <w:tcW w:w="3325" w:type="dxa"/>
            <w:gridSpan w:val="3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683" w:type="dxa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电子邮件</w:t>
            </w:r>
          </w:p>
        </w:tc>
        <w:tc>
          <w:tcPr>
            <w:tcW w:w="2771" w:type="dxa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124" w:type="dxa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传</w:t>
            </w:r>
            <w:r>
              <w:rPr>
                <w:rFonts w:ascii="宋体"/>
                <w:b/>
                <w:bCs/>
              </w:rPr>
              <w:t xml:space="preserve"> </w:t>
            </w:r>
            <w:r>
              <w:rPr>
                <w:rFonts w:hint="eastAsia" w:ascii="宋体"/>
                <w:b/>
                <w:bCs/>
              </w:rPr>
              <w:t xml:space="preserve">  真</w:t>
            </w:r>
          </w:p>
        </w:tc>
        <w:tc>
          <w:tcPr>
            <w:tcW w:w="3325" w:type="dxa"/>
            <w:gridSpan w:val="3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8903" w:type="dxa"/>
            <w:gridSpan w:val="6"/>
            <w:vAlign w:val="top"/>
          </w:tcPr>
          <w:p>
            <w:pPr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工作简历</w:t>
            </w:r>
          </w:p>
          <w:p>
            <w:pPr>
              <w:rPr>
                <w:rFonts w:hint="eastAsia" w:ascii="宋体"/>
                <w:b/>
                <w:bCs/>
              </w:rPr>
            </w:pPr>
          </w:p>
          <w:p>
            <w:pPr>
              <w:rPr>
                <w:rFonts w:hint="eastAsia" w:ascii="宋体"/>
                <w:b/>
                <w:bCs/>
              </w:rPr>
            </w:pPr>
          </w:p>
          <w:p>
            <w:pPr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8903" w:type="dxa"/>
            <w:gridSpan w:val="6"/>
            <w:vAlign w:val="top"/>
          </w:tcPr>
          <w:p>
            <w:pPr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单位概况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8903" w:type="dxa"/>
            <w:gridSpan w:val="6"/>
            <w:vAlign w:val="top"/>
          </w:tcPr>
          <w:p>
            <w:pPr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建议要求</w:t>
            </w:r>
          </w:p>
          <w:p>
            <w:pPr>
              <w:rPr>
                <w:rFonts w:hint="eastAsia" w:ascii="宋体"/>
                <w:b/>
                <w:bCs/>
              </w:rPr>
            </w:pPr>
          </w:p>
          <w:p>
            <w:pPr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8903" w:type="dxa"/>
            <w:gridSpan w:val="6"/>
            <w:vAlign w:val="center"/>
          </w:tcPr>
          <w:p>
            <w:pPr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 xml:space="preserve">申请人签名：                                   </w:t>
            </w:r>
          </w:p>
          <w:p>
            <w:pPr>
              <w:rPr>
                <w:rFonts w:hint="eastAsia" w:ascii="宋体"/>
                <w:b/>
                <w:bCs/>
              </w:rPr>
            </w:pPr>
          </w:p>
          <w:p>
            <w:pPr>
              <w:rPr>
                <w:rFonts w:hint="eastAsia" w:ascii="宋体"/>
                <w:b/>
                <w:bCs/>
              </w:rPr>
            </w:pPr>
          </w:p>
          <w:p>
            <w:pPr>
              <w:rPr>
                <w:rFonts w:hint="eastAsia" w:ascii="宋体"/>
                <w:b/>
                <w:bCs/>
              </w:rPr>
            </w:pPr>
          </w:p>
          <w:p>
            <w:pPr>
              <w:ind w:firstLine="5320" w:firstLineChars="1900"/>
              <w:rPr>
                <w:rFonts w:hint="eastAsia" w:ascii="黑体" w:eastAsia="黑体"/>
                <w:bCs/>
                <w:sz w:val="28"/>
              </w:rPr>
            </w:pPr>
            <w:r>
              <w:rPr>
                <w:rFonts w:hint="eastAsia" w:ascii="黑体" w:eastAsia="黑体"/>
                <w:bCs/>
                <w:sz w:val="28"/>
              </w:rPr>
              <w:t>（单位公章）</w:t>
            </w:r>
          </w:p>
          <w:p>
            <w:pPr>
              <w:rPr>
                <w:rFonts w:hint="eastAsia" w:ascii="黑体" w:eastAsia="黑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</w:trPr>
        <w:tc>
          <w:tcPr>
            <w:tcW w:w="8903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ind w:firstLine="480" w:firstLineChars="200"/>
              <w:jc w:val="left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ind w:firstLine="480" w:firstLineChars="200"/>
              <w:jc w:val="left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联系人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：赵老师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15911037933（微信同号）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ind w:firstLine="480" w:firstLineChars="200"/>
              <w:jc w:val="left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电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话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010-60531730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adjustRightInd w:val="0"/>
              <w:snapToGrid w:val="0"/>
              <w:spacing w:line="360" w:lineRule="exact"/>
              <w:ind w:firstLine="480"/>
              <w:rPr>
                <w:rFonts w:hint="eastAsia" w:ascii="宋体" w:hAnsi="宋体"/>
                <w:b/>
                <w:bCs/>
                <w:color w:val="000000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箱：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instrText xml:space="preserve"> HYPERLINK "mailto:qinghuadaxueyx@163.com"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Style w:val="13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qinghuadaxueyx@163.com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instrText xml:space="preserve"> HYPERLINK "mailto:2889303302@qq.com"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Style w:val="13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2889303302@qq.com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fldChar w:fldCharType="end"/>
            </w:r>
          </w:p>
        </w:tc>
      </w:tr>
    </w:tbl>
    <w:p>
      <w:pPr>
        <w:spacing w:line="400" w:lineRule="exact"/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/>
          <w:b/>
          <w:szCs w:val="21"/>
        </w:rPr>
        <w:t xml:space="preserve">备注：*为必须填写。 报名学员须准备身份证与学历证复印件各1份；2寸蓝底免冠彩照3张；名片3张；企业简介（600字以上）1份；报名申请表1份。联系人： </w:t>
      </w:r>
    </w:p>
    <w:sectPr>
      <w:headerReference r:id="rId3" w:type="default"/>
      <w:footerReference r:id="rId4" w:type="default"/>
      <w:pgSz w:w="11906" w:h="16838"/>
      <w:pgMar w:top="624" w:right="1701" w:bottom="624" w:left="1701" w:header="312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细黑">
    <w:altName w:val="微软雅黑"/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21.95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Jb4oDrRAAAAAgEAAA8AAAAAAAAAAQAgAAAAIgAAAGRycy9kb3ducmV2LnhtbFBLAQIUABQAAAAI&#10;AIdO4kBmZ9RKuwEAAFEDAAAOAAAAAAAAAAEAIAAAACA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2646"/>
        <w:tab w:val="clear" w:pos="4153"/>
      </w:tabs>
      <w:rPr>
        <w:rFonts w:hint="eastAsia"/>
      </w:rPr>
    </w:pP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55BB4036"/>
    <w:multiLevelType w:val="singleLevel"/>
    <w:tmpl w:val="55BB4036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2">
    <w:nsid w:val="55BB41C9"/>
    <w:multiLevelType w:val="singleLevel"/>
    <w:tmpl w:val="55BB41C9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3">
    <w:nsid w:val="59292298"/>
    <w:multiLevelType w:val="singleLevel"/>
    <w:tmpl w:val="5929229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7D469F"/>
    <w:rsid w:val="00D2004F"/>
    <w:rsid w:val="0138245D"/>
    <w:rsid w:val="02500848"/>
    <w:rsid w:val="02DE402A"/>
    <w:rsid w:val="03644B23"/>
    <w:rsid w:val="04B90629"/>
    <w:rsid w:val="04D079A4"/>
    <w:rsid w:val="053C2FED"/>
    <w:rsid w:val="06A705EA"/>
    <w:rsid w:val="089B70EC"/>
    <w:rsid w:val="099425CE"/>
    <w:rsid w:val="09980A9F"/>
    <w:rsid w:val="09D80EEE"/>
    <w:rsid w:val="0B945030"/>
    <w:rsid w:val="0BA43CDA"/>
    <w:rsid w:val="0F2D4B20"/>
    <w:rsid w:val="10664881"/>
    <w:rsid w:val="1408607D"/>
    <w:rsid w:val="140A01FC"/>
    <w:rsid w:val="16193748"/>
    <w:rsid w:val="168B36DB"/>
    <w:rsid w:val="16B33DFE"/>
    <w:rsid w:val="18C86989"/>
    <w:rsid w:val="1D51274C"/>
    <w:rsid w:val="1E643805"/>
    <w:rsid w:val="1FC626B4"/>
    <w:rsid w:val="20353EE7"/>
    <w:rsid w:val="205019AF"/>
    <w:rsid w:val="217C02CB"/>
    <w:rsid w:val="23493BDC"/>
    <w:rsid w:val="239B28F8"/>
    <w:rsid w:val="2B134AD7"/>
    <w:rsid w:val="2CE14C54"/>
    <w:rsid w:val="2DCB4916"/>
    <w:rsid w:val="2DFD4700"/>
    <w:rsid w:val="2F0655D8"/>
    <w:rsid w:val="303A0396"/>
    <w:rsid w:val="30847B17"/>
    <w:rsid w:val="310D2DF9"/>
    <w:rsid w:val="32F203E4"/>
    <w:rsid w:val="34324FCE"/>
    <w:rsid w:val="34CB5584"/>
    <w:rsid w:val="356B4FD4"/>
    <w:rsid w:val="36C11282"/>
    <w:rsid w:val="373E21AA"/>
    <w:rsid w:val="37D8624F"/>
    <w:rsid w:val="383C20A5"/>
    <w:rsid w:val="3A111B36"/>
    <w:rsid w:val="3C05200D"/>
    <w:rsid w:val="3C171ED5"/>
    <w:rsid w:val="3CB617CB"/>
    <w:rsid w:val="3D626C65"/>
    <w:rsid w:val="40981E05"/>
    <w:rsid w:val="416D31C7"/>
    <w:rsid w:val="419F3716"/>
    <w:rsid w:val="429B0F05"/>
    <w:rsid w:val="43F744F6"/>
    <w:rsid w:val="44C1510E"/>
    <w:rsid w:val="462528D9"/>
    <w:rsid w:val="4AF9589F"/>
    <w:rsid w:val="4CC26307"/>
    <w:rsid w:val="4E314AFF"/>
    <w:rsid w:val="4FFC4D52"/>
    <w:rsid w:val="52973857"/>
    <w:rsid w:val="52E63426"/>
    <w:rsid w:val="54F37BF5"/>
    <w:rsid w:val="553B36B5"/>
    <w:rsid w:val="55BB5416"/>
    <w:rsid w:val="59FD6A00"/>
    <w:rsid w:val="5C5C4FBE"/>
    <w:rsid w:val="5CAB25D1"/>
    <w:rsid w:val="5DAE06F0"/>
    <w:rsid w:val="606F376A"/>
    <w:rsid w:val="60E209E1"/>
    <w:rsid w:val="62D017A2"/>
    <w:rsid w:val="6751267F"/>
    <w:rsid w:val="677F6BB6"/>
    <w:rsid w:val="69D0436C"/>
    <w:rsid w:val="6B023FA8"/>
    <w:rsid w:val="6F583E24"/>
    <w:rsid w:val="70246652"/>
    <w:rsid w:val="711615F7"/>
    <w:rsid w:val="71F171DB"/>
    <w:rsid w:val="732D6C09"/>
    <w:rsid w:val="73533374"/>
    <w:rsid w:val="73914C48"/>
    <w:rsid w:val="74236C59"/>
    <w:rsid w:val="74536E18"/>
    <w:rsid w:val="76E60A91"/>
    <w:rsid w:val="76F85C8F"/>
    <w:rsid w:val="774A34AF"/>
    <w:rsid w:val="78840FF2"/>
    <w:rsid w:val="78D9441E"/>
    <w:rsid w:val="79C11F50"/>
    <w:rsid w:val="7B66719A"/>
    <w:rsid w:val="7DAF2008"/>
    <w:rsid w:val="7EC122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  <w:rPr>
      <w:rFonts w:ascii="Arial" w:hAnsi="Arial" w:eastAsia="Times New Roman" w:cs="Verdana"/>
      <w:b/>
      <w:kern w:val="0"/>
      <w:sz w:val="24"/>
      <w:szCs w:val="20"/>
      <w:lang w:eastAsia="en-US"/>
    </w:rPr>
  </w:style>
  <w:style w:type="table" w:default="1" w:styleId="16">
    <w:name w:val="Normal Table"/>
    <w:semiHidden/>
    <w:uiPriority w:val="0"/>
    <w:tblPr>
      <w:tblStyle w:val="1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uiPriority w:val="0"/>
    <w:rPr>
      <w:b w:val="0"/>
    </w:rPr>
  </w:style>
  <w:style w:type="character" w:styleId="7">
    <w:name w:val="page number"/>
    <w:basedOn w:val="5"/>
    <w:uiPriority w:val="0"/>
  </w:style>
  <w:style w:type="character" w:styleId="8">
    <w:name w:val="FollowedHyperlink"/>
    <w:basedOn w:val="5"/>
    <w:uiPriority w:val="0"/>
    <w:rPr>
      <w:color w:val="333333"/>
      <w:u w:val="none"/>
    </w:rPr>
  </w:style>
  <w:style w:type="character" w:styleId="9">
    <w:name w:val="Emphasis"/>
    <w:basedOn w:val="5"/>
    <w:uiPriority w:val="0"/>
    <w:rPr>
      <w:b w:val="0"/>
    </w:rPr>
  </w:style>
  <w:style w:type="character" w:styleId="10">
    <w:name w:val="HTML Definition"/>
    <w:basedOn w:val="5"/>
    <w:uiPriority w:val="0"/>
    <w:rPr>
      <w:b w:val="0"/>
    </w:rPr>
  </w:style>
  <w:style w:type="character" w:styleId="11">
    <w:name w:val="HTML Acronym"/>
    <w:basedOn w:val="5"/>
    <w:uiPriority w:val="0"/>
  </w:style>
  <w:style w:type="character" w:styleId="12">
    <w:name w:val="HTML Variable"/>
    <w:basedOn w:val="5"/>
    <w:uiPriority w:val="0"/>
    <w:rPr>
      <w:b w:val="0"/>
    </w:rPr>
  </w:style>
  <w:style w:type="character" w:styleId="13">
    <w:name w:val="Hyperlink"/>
    <w:basedOn w:val="5"/>
    <w:uiPriority w:val="0"/>
    <w:rPr>
      <w:color w:val="333333"/>
      <w:u w:val="none"/>
    </w:rPr>
  </w:style>
  <w:style w:type="character" w:styleId="14">
    <w:name w:val="HTML Code"/>
    <w:basedOn w:val="5"/>
    <w:uiPriority w:val="0"/>
    <w:rPr>
      <w:rFonts w:ascii="Courier New" w:hAnsi="Courier New"/>
      <w:b w:val="0"/>
      <w:sz w:val="20"/>
    </w:rPr>
  </w:style>
  <w:style w:type="character" w:styleId="15">
    <w:name w:val="HTML Cite"/>
    <w:basedOn w:val="5"/>
    <w:uiPriority w:val="0"/>
    <w:rPr>
      <w:b w:val="0"/>
    </w:rPr>
  </w:style>
  <w:style w:type="paragraph" w:customStyle="1" w:styleId="17">
    <w:name w:val="Char"/>
    <w:basedOn w:val="1"/>
    <w:uiPriority w:val="0"/>
    <w:pPr>
      <w:widowControl/>
      <w:spacing w:after="160" w:afterLines="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paragraph" w:customStyle="1" w:styleId="18">
    <w:name w:val="列出段落1"/>
    <w:basedOn w:val="1"/>
    <w:uiPriority w:val="0"/>
    <w:pPr>
      <w:ind w:firstLine="420" w:firstLineChars="200"/>
    </w:pPr>
  </w:style>
  <w:style w:type="paragraph" w:customStyle="1" w:styleId="19">
    <w:name w:val="Char Char Char Char Char Char"/>
    <w:basedOn w:val="1"/>
    <w:uiPriority w:val="0"/>
    <w:pPr>
      <w:widowControl/>
      <w:spacing w:after="160" w:afterLines="0" w:line="240" w:lineRule="exact"/>
      <w:jc w:val="left"/>
    </w:pPr>
    <w:rPr>
      <w:rFonts w:ascii="Times New Roman" w:hAnsi="Times New Roman"/>
      <w:szCs w:val="20"/>
    </w:rPr>
  </w:style>
  <w:style w:type="paragraph" w:customStyle="1" w:styleId="20">
    <w:name w:val="p1"/>
    <w:basedOn w:val="1"/>
    <w:uiPriority w:val="0"/>
    <w:pPr>
      <w:spacing w:before="0" w:beforeLines="0" w:beforeAutospacing="0" w:after="300" w:afterLines="0" w:afterAutospacing="0"/>
      <w:ind w:left="0" w:right="0"/>
      <w:jc w:val="center"/>
    </w:pPr>
    <w:rPr>
      <w:rFonts w:ascii="微软雅黑" w:hAnsi="微软雅黑" w:eastAsia="微软雅黑" w:cs="微软雅黑"/>
      <w:color w:val="A72626"/>
      <w:kern w:val="0"/>
      <w:sz w:val="30"/>
      <w:szCs w:val="30"/>
      <w:lang w:val="en-US" w:eastAsia="zh-CN" w:bidi="ar"/>
    </w:rPr>
  </w:style>
  <w:style w:type="character" w:customStyle="1" w:styleId="21">
    <w:name w:val="toctext"/>
    <w:basedOn w:val="5"/>
    <w:uiPriority w:val="0"/>
  </w:style>
  <w:style w:type="character" w:customStyle="1" w:styleId="22">
    <w:name w:val="tocnumber"/>
    <w:basedOn w:val="5"/>
    <w:uiPriority w:val="0"/>
  </w:style>
  <w:style w:type="character" w:customStyle="1" w:styleId="23">
    <w:name w:val="jg"/>
    <w:basedOn w:val="5"/>
    <w:uiPriority w:val="0"/>
  </w:style>
  <w:style w:type="character" w:customStyle="1" w:styleId="24">
    <w:name w:val="tit"/>
    <w:basedOn w:val="5"/>
    <w:uiPriority w:val="0"/>
    <w:rPr>
      <w:sz w:val="21"/>
      <w:szCs w:val="21"/>
    </w:rPr>
  </w:style>
  <w:style w:type="character" w:customStyle="1" w:styleId="25">
    <w:name w:val="apple-converted-space"/>
    <w:basedOn w:val="5"/>
    <w:uiPriority w:val="0"/>
  </w:style>
  <w:style w:type="character" w:customStyle="1" w:styleId="26">
    <w:name w:val="more"/>
    <w:basedOn w:val="5"/>
    <w:uiPriority w:val="0"/>
  </w:style>
  <w:style w:type="character" w:customStyle="1" w:styleId="27">
    <w:name w:val="sj"/>
    <w:basedOn w:val="5"/>
    <w:uiPriority w:val="0"/>
  </w:style>
  <w:style w:type="character" w:customStyle="1" w:styleId="28">
    <w:name w:val="rq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669</Words>
  <Characters>3815</Characters>
  <Lines>31</Lines>
  <Paragraphs>8</Paragraphs>
  <ScaleCrop>false</ScaleCrop>
  <LinksUpToDate>false</LinksUpToDate>
  <CharactersWithSpaces>4476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2017-10-30T07:20:00Z</dcterms:created>
  <dc:creator>Administrator</dc:creator>
  <cp:lastModifiedBy>Administrator</cp:lastModifiedBy>
  <dcterms:modified xsi:type="dcterms:W3CDTF">2017-11-01T01:34:53Z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